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10179" w:type="dxa"/>
        <w:tblInd w:w="-342" w:type="dxa"/>
        <w:tblLayout w:type="autofit"/>
        <w:tblCellMar>
          <w:top w:w="0" w:type="dxa"/>
          <w:left w:w="10" w:type="dxa"/>
          <w:bottom w:w="0" w:type="dxa"/>
          <w:right w:w="10" w:type="dxa"/>
        </w:tblCellMar>
      </w:tblPr>
      <w:tblGrid>
        <w:gridCol w:w="4860"/>
        <w:gridCol w:w="5319"/>
      </w:tblGrid>
      <w:tr w14:paraId="0CDB87A0">
        <w:tblPrEx>
          <w:tblCellMar>
            <w:top w:w="0" w:type="dxa"/>
            <w:left w:w="10" w:type="dxa"/>
            <w:bottom w:w="0" w:type="dxa"/>
            <w:right w:w="10" w:type="dxa"/>
          </w:tblCellMar>
        </w:tblPrEx>
        <w:trPr>
          <w:trHeight w:val="1" w:hRule="atLeast"/>
        </w:trPr>
        <w:tc>
          <w:tcPr>
            <w:tcW w:w="4860" w:type="dxa"/>
            <w:shd w:val="clear" w:color="000000" w:fill="FFFFFF"/>
            <w:tcMar>
              <w:left w:w="108" w:type="dxa"/>
              <w:right w:w="108" w:type="dxa"/>
            </w:tcMar>
          </w:tcPr>
          <w:p w14:paraId="76E24E3F">
            <w:pPr>
              <w:spacing w:after="0" w:line="240" w:lineRule="auto"/>
              <w:jc w:val="center"/>
              <w:rPr>
                <w:rFonts w:ascii="Times New Roman" w:hAnsi="Times New Roman" w:eastAsia="Times New Roman" w:cs="Times New Roman"/>
                <w:b/>
                <w:sz w:val="26"/>
              </w:rPr>
            </w:pPr>
            <w:r>
              <w:rPr>
                <w:rFonts w:ascii="Times New Roman" w:hAnsi="Times New Roman" w:eastAsia="Times New Roman" w:cs="Times New Roman"/>
                <w:b/>
                <w:sz w:val="26"/>
              </w:rPr>
              <w:t>BỘ NÔNG NGHIỆP VÀ MÔI TRƯỜNG</w:t>
            </w:r>
          </w:p>
          <w:p w14:paraId="62E0BB79">
            <w:pPr>
              <w:spacing w:after="0" w:line="240" w:lineRule="auto"/>
              <w:jc w:val="center"/>
            </w:pPr>
            <w:r>
              <w:rPr>
                <w:rFonts w:ascii="Times New Roman" w:hAnsi="Times New Roman" w:eastAsia="Times New Roman" w:cs="Times New Roman"/>
                <w:b/>
                <w:sz w:val="26"/>
              </w:rPr>
              <w:t>–––––––––––––</w:t>
            </w:r>
          </w:p>
        </w:tc>
        <w:tc>
          <w:tcPr>
            <w:tcW w:w="5319" w:type="dxa"/>
            <w:shd w:val="clear" w:color="000000" w:fill="FFFFFF"/>
            <w:tcMar>
              <w:left w:w="108" w:type="dxa"/>
              <w:right w:w="108" w:type="dxa"/>
            </w:tcMar>
          </w:tcPr>
          <w:p w14:paraId="62850312">
            <w:pPr>
              <w:spacing w:after="0" w:line="240" w:lineRule="auto"/>
              <w:jc w:val="center"/>
              <w:rPr>
                <w:rFonts w:ascii="Times New Roman" w:hAnsi="Times New Roman" w:eastAsia="Times New Roman" w:cs="Times New Roman"/>
                <w:b/>
                <w:sz w:val="28"/>
              </w:rPr>
            </w:pPr>
            <w:r>
              <w:rPr>
                <w:rFonts w:ascii="Times New Roman" w:hAnsi="Times New Roman" w:eastAsia="Times New Roman" w:cs="Times New Roman"/>
                <w:b/>
                <w:sz w:val="24"/>
              </w:rPr>
              <w:t>CỘNG HOÀ XÃ HỘI CHỦ NGHĨA VIỆT NAM</w:t>
            </w:r>
            <w:r>
              <w:rPr>
                <w:rFonts w:ascii="Times New Roman" w:hAnsi="Times New Roman" w:eastAsia="Times New Roman" w:cs="Times New Roman"/>
                <w:b/>
                <w:sz w:val="24"/>
              </w:rPr>
              <w:br w:type="textWrapping"/>
            </w:r>
            <w:r>
              <w:rPr>
                <w:rFonts w:ascii="Times New Roman" w:hAnsi="Times New Roman" w:eastAsia="Times New Roman" w:cs="Times New Roman"/>
                <w:b/>
                <w:sz w:val="28"/>
              </w:rPr>
              <w:t>Độc lập - Tự do - Hạnh phúc</w:t>
            </w:r>
          </w:p>
          <w:p w14:paraId="23D3BBE2">
            <w:pPr>
              <w:spacing w:after="0" w:line="240" w:lineRule="auto"/>
              <w:jc w:val="center"/>
            </w:pPr>
            <w:r>
              <w:rPr>
                <w:rFonts w:ascii="Times New Roman" w:hAnsi="Times New Roman" w:eastAsia="Times New Roman" w:cs="Times New Roman"/>
                <w:b/>
                <w:sz w:val="28"/>
              </w:rPr>
              <w:t>–––––––––––––––––––––––––</w:t>
            </w:r>
          </w:p>
        </w:tc>
      </w:tr>
      <w:tr w14:paraId="32EBD18D">
        <w:tblPrEx>
          <w:tblCellMar>
            <w:top w:w="0" w:type="dxa"/>
            <w:left w:w="10" w:type="dxa"/>
            <w:bottom w:w="0" w:type="dxa"/>
            <w:right w:w="10" w:type="dxa"/>
          </w:tblCellMar>
        </w:tblPrEx>
        <w:trPr>
          <w:trHeight w:val="249" w:hRule="atLeast"/>
        </w:trPr>
        <w:tc>
          <w:tcPr>
            <w:tcW w:w="4860" w:type="dxa"/>
            <w:shd w:val="clear" w:color="000000" w:fill="FFFFFF"/>
            <w:tcMar>
              <w:left w:w="108" w:type="dxa"/>
              <w:right w:w="108" w:type="dxa"/>
            </w:tcMar>
          </w:tcPr>
          <w:p w14:paraId="5CEEB348">
            <w:pPr>
              <w:spacing w:after="0" w:line="240" w:lineRule="auto"/>
              <w:jc w:val="center"/>
            </w:pPr>
            <w:r>
              <w:rPr>
                <w:rFonts w:ascii="Times New Roman" w:hAnsi="Times New Roman" w:eastAsia="Times New Roman" w:cs="Times New Roman"/>
                <w:sz w:val="28"/>
              </w:rPr>
              <w:t>Số:        /BC-BNNMT-KTHT</w:t>
            </w:r>
          </w:p>
        </w:tc>
        <w:tc>
          <w:tcPr>
            <w:tcW w:w="5319" w:type="dxa"/>
            <w:shd w:val="clear" w:color="000000" w:fill="FFFFFF"/>
            <w:tcMar>
              <w:left w:w="108" w:type="dxa"/>
              <w:right w:w="108" w:type="dxa"/>
            </w:tcMar>
          </w:tcPr>
          <w:p w14:paraId="4C60A6CD">
            <w:pPr>
              <w:spacing w:after="0" w:line="240" w:lineRule="auto"/>
              <w:jc w:val="center"/>
            </w:pPr>
            <w:r>
              <w:rPr>
                <w:rFonts w:ascii="Times New Roman" w:hAnsi="Times New Roman" w:eastAsia="Times New Roman" w:cs="Times New Roman"/>
                <w:i/>
                <w:sz w:val="28"/>
              </w:rPr>
              <w:t xml:space="preserve">Hà Nội, ngày       tháng </w:t>
            </w:r>
            <w:r>
              <w:rPr>
                <w:rFonts w:hint="default" w:ascii="Times New Roman" w:hAnsi="Times New Roman" w:eastAsia="Times New Roman" w:cs="Times New Roman"/>
                <w:b/>
                <w:i/>
                <w:sz w:val="28"/>
                <w:lang w:val="en-US"/>
              </w:rPr>
              <w:t xml:space="preserve">  </w:t>
            </w:r>
            <w:r>
              <w:rPr>
                <w:rFonts w:ascii="Times New Roman" w:hAnsi="Times New Roman" w:eastAsia="Times New Roman" w:cs="Times New Roman"/>
                <w:i/>
                <w:sz w:val="28"/>
              </w:rPr>
              <w:t xml:space="preserve"> năm </w:t>
            </w:r>
            <w:r>
              <w:rPr>
                <w:rFonts w:ascii="Times New Roman" w:hAnsi="Times New Roman" w:eastAsia="Times New Roman" w:cs="Times New Roman"/>
                <w:b/>
                <w:i/>
                <w:sz w:val="28"/>
              </w:rPr>
              <w:t>202</w:t>
            </w:r>
            <w:r>
              <w:rPr>
                <w:rFonts w:hint="default" w:ascii="Times New Roman" w:hAnsi="Times New Roman" w:eastAsia="Times New Roman" w:cs="Times New Roman"/>
                <w:b/>
                <w:i/>
                <w:sz w:val="28"/>
                <w:lang w:val="en-US"/>
              </w:rPr>
              <w:t>6</w:t>
            </w:r>
          </w:p>
        </w:tc>
      </w:tr>
    </w:tbl>
    <w:p w14:paraId="1BD2E837">
      <w:pPr>
        <w:spacing w:before="120" w:after="0" w:line="240" w:lineRule="auto"/>
        <w:ind w:firstLine="142"/>
        <w:jc w:val="center"/>
        <w:rPr>
          <w:rFonts w:ascii="Times New Roman" w:hAnsi="Times New Roman" w:eastAsia="Times New Roman" w:cs="Times New Roman"/>
          <w:b/>
          <w:spacing w:val="-2"/>
          <w:sz w:val="28"/>
        </w:rPr>
      </w:pPr>
      <w:r>
        <w:rPr>
          <w:rFonts w:eastAsia="Times New Roman"/>
          <w:b/>
          <w:bCs/>
          <w:sz w:val="28"/>
          <w:szCs w:val="28"/>
        </w:rPr>
        <w:pict>
          <v:shape id="_x0000_s1026" o:spid="_x0000_s1026" o:spt="202" type="#_x0000_t202" style="position:absolute;left:0pt;margin-left:-45.5pt;margin-top:6.95pt;height:39.9pt;width:90.05pt;z-index:251659264;mso-width-relative:page;mso-height-relative:page;" fillcolor="#FFFFFF" filled="t" stroked="t" coordsize="21600,21600" o:gfxdata="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I5wRnPYAAAACAEAAA8AAAAAAAAAAQAgAAAAIgAAAGRycy9kb3ducmV2&#10;LnhtbFBLAQIUABQAAAAIAIdO4kALfaQBNQIAAIcEAAAOAAAAAAAAAAEAIAAAACcBAABkcnMvZTJv&#10;RG9jLnhtbFBLBQYAAAAABgAGAFkBAADOBQAAAAA=&#10;">
            <v:path/>
            <v:fill on="t" color2="#FFFFFF" focussize="0,0"/>
            <v:stroke color="#000000" miterlimit="8" joinstyle="miter"/>
            <v:imagedata o:title=""/>
            <o:lock v:ext="edit" aspectratio="f"/>
            <v:textbox>
              <w:txbxContent>
                <w:p w14:paraId="4D35347F">
                  <w:pPr>
                    <w:keepNext w:val="0"/>
                    <w:keepLines w:val="0"/>
                    <w:pageBreakBefore w:val="0"/>
                    <w:widowControl/>
                    <w:kinsoku/>
                    <w:wordWrap/>
                    <w:overflowPunct/>
                    <w:topLinePunct w:val="0"/>
                    <w:bidi w:val="0"/>
                    <w:adjustRightInd/>
                    <w:snapToGrid/>
                    <w:spacing w:after="0" w:line="240" w:lineRule="auto"/>
                    <w:jc w:val="center"/>
                    <w:textAlignment w:val="auto"/>
                    <w:rPr>
                      <w:rFonts w:hint="default" w:ascii="Times New Roman" w:hAnsi="Times New Roman" w:cs="Times New Roman"/>
                      <w:b/>
                      <w:bCs/>
                      <w:sz w:val="28"/>
                      <w:szCs w:val="28"/>
                    </w:rPr>
                  </w:pPr>
                  <w:r>
                    <w:rPr>
                      <w:rFonts w:hint="default" w:ascii="Times New Roman" w:hAnsi="Times New Roman" w:cs="Times New Roman"/>
                      <w:b/>
                      <w:bCs/>
                      <w:sz w:val="28"/>
                      <w:szCs w:val="28"/>
                    </w:rPr>
                    <w:t>DỰ THẢO</w:t>
                  </w:r>
                </w:p>
                <w:p w14:paraId="0DE1B999">
                  <w:pPr>
                    <w:keepNext w:val="0"/>
                    <w:keepLines w:val="0"/>
                    <w:pageBreakBefore w:val="0"/>
                    <w:widowControl/>
                    <w:kinsoku/>
                    <w:wordWrap/>
                    <w:overflowPunct/>
                    <w:topLinePunct w:val="0"/>
                    <w:bidi w:val="0"/>
                    <w:adjustRightInd/>
                    <w:snapToGrid/>
                    <w:spacing w:after="0" w:line="240" w:lineRule="auto"/>
                    <w:jc w:val="center"/>
                    <w:textAlignment w:val="auto"/>
                    <w:rPr>
                      <w:rFonts w:hint="default" w:ascii="Times New Roman" w:hAnsi="Times New Roman" w:cs="Times New Roman"/>
                      <w:b/>
                      <w:bCs/>
                      <w:sz w:val="28"/>
                      <w:szCs w:val="28"/>
                      <w:lang w:val="en-US"/>
                    </w:rPr>
                  </w:pPr>
                  <w:r>
                    <w:rPr>
                      <w:rFonts w:hint="default" w:ascii="Times New Roman" w:hAnsi="Times New Roman" w:cs="Times New Roman"/>
                      <w:b/>
                      <w:bCs/>
                      <w:sz w:val="28"/>
                      <w:szCs w:val="28"/>
                      <w:lang w:val="en-US"/>
                    </w:rPr>
                    <w:t>(Lần 3)</w:t>
                  </w:r>
                </w:p>
              </w:txbxContent>
            </v:textbox>
          </v:shape>
        </w:pict>
      </w:r>
    </w:p>
    <w:p w14:paraId="05233F3B">
      <w:pPr>
        <w:spacing w:before="120" w:after="0" w:line="240" w:lineRule="auto"/>
        <w:ind w:firstLine="142"/>
        <w:jc w:val="center"/>
        <w:rPr>
          <w:rFonts w:ascii="Times New Roman" w:hAnsi="Times New Roman" w:eastAsia="Times New Roman" w:cs="Times New Roman"/>
          <w:b/>
          <w:spacing w:val="-2"/>
          <w:sz w:val="32"/>
          <w:szCs w:val="32"/>
        </w:rPr>
      </w:pPr>
      <w:r>
        <w:rPr>
          <w:rFonts w:ascii="Times New Roman" w:hAnsi="Times New Roman" w:eastAsia="Times New Roman" w:cs="Times New Roman"/>
          <w:b/>
          <w:spacing w:val="-2"/>
          <w:sz w:val="32"/>
          <w:szCs w:val="32"/>
        </w:rPr>
        <w:t xml:space="preserve">BÁO CÁO </w:t>
      </w:r>
    </w:p>
    <w:p w14:paraId="343D6538">
      <w:pPr>
        <w:spacing w:before="120" w:after="0" w:line="240" w:lineRule="auto"/>
        <w:jc w:val="center"/>
        <w:rPr>
          <w:rFonts w:ascii="Times New Roman" w:hAnsi="Times New Roman" w:eastAsia="Times New Roman" w:cs="Times New Roman"/>
          <w:b/>
          <w:sz w:val="28"/>
        </w:rPr>
      </w:pPr>
      <w:r>
        <w:rPr>
          <w:rFonts w:ascii="Times New Roman Bold" w:hAnsi="Times New Roman Bold"/>
          <w:b/>
          <w:sz w:val="28"/>
          <w:szCs w:val="28"/>
        </w:rPr>
        <w:t>Tổng kết</w:t>
      </w:r>
      <w:r>
        <w:rPr>
          <w:rFonts w:ascii="Times New Roman Bold" w:hAnsi="Times New Roman Bold"/>
          <w:b/>
          <w:sz w:val="28"/>
          <w:szCs w:val="28"/>
          <w:lang w:val="vi-VN"/>
        </w:rPr>
        <w:t xml:space="preserve"> </w:t>
      </w:r>
      <w:r>
        <w:rPr>
          <w:rFonts w:ascii="Times New Roman Bold" w:hAnsi="Times New Roman Bold"/>
          <w:b/>
          <w:sz w:val="28"/>
          <w:szCs w:val="28"/>
        </w:rPr>
        <w:t xml:space="preserve">việc thi hành pháp luật hiện hành liên quan đến nội dung </w:t>
      </w:r>
      <w:r>
        <w:rPr>
          <w:rFonts w:ascii="Times New Roman" w:hAnsi="Times New Roman" w:eastAsia="Times New Roman" w:cs="Times New Roman"/>
          <w:b/>
          <w:sz w:val="28"/>
        </w:rPr>
        <w:t>Nghị định số 98/2018/NĐ-CP ngày 05/07/2018 của Chính phủ về chính sách khuyến khích phát triển hợp tác, liên kết trong sản xuất và tiêu thụ sản phẩm nông nghiệp</w:t>
      </w:r>
    </w:p>
    <w:p w14:paraId="3260E452">
      <w:pPr>
        <w:spacing w:after="0" w:line="240" w:lineRule="auto"/>
        <w:jc w:val="center"/>
        <w:rPr>
          <w:rFonts w:ascii="Times New Roman" w:hAnsi="Times New Roman" w:eastAsia="Times New Roman" w:cs="Times New Roman"/>
          <w:spacing w:val="-2"/>
          <w:sz w:val="28"/>
        </w:rPr>
      </w:pPr>
      <w:r>
        <w:rPr>
          <w:rFonts w:ascii="Times New Roman" w:hAnsi="Times New Roman" w:eastAsia="Times New Roman" w:cs="Times New Roman"/>
          <w:spacing w:val="-2"/>
          <w:sz w:val="28"/>
        </w:rPr>
        <w:t>––––––––––––––––––</w:t>
      </w:r>
    </w:p>
    <w:p w14:paraId="5BB56AE5">
      <w:pPr>
        <w:spacing w:before="120" w:after="0" w:line="240" w:lineRule="auto"/>
        <w:ind w:left="0" w:leftChars="0" w:firstLine="0" w:firstLineChars="0"/>
        <w:jc w:val="center"/>
        <w:rPr>
          <w:rFonts w:hint="default" w:ascii="Times New Roman" w:hAnsi="Times New Roman" w:eastAsia="Times New Roman" w:cs="Times New Roman"/>
          <w:sz w:val="28"/>
        </w:rPr>
      </w:pPr>
      <w:r>
        <w:rPr>
          <w:rFonts w:hint="default" w:ascii="Times New Roman" w:hAnsi="Times New Roman" w:eastAsia="Times New Roman" w:cs="Times New Roman"/>
          <w:sz w:val="28"/>
        </w:rPr>
        <w:t>Kính gửi: Chính phủ</w:t>
      </w:r>
    </w:p>
    <w:p w14:paraId="1A1C9DD0">
      <w:pPr>
        <w:spacing w:before="120" w:after="0" w:line="240" w:lineRule="auto"/>
        <w:ind w:firstLine="567"/>
        <w:jc w:val="center"/>
        <w:rPr>
          <w:rFonts w:hint="default" w:ascii="Times New Roman" w:hAnsi="Times New Roman" w:eastAsia="Times New Roman" w:cs="Times New Roman"/>
          <w:sz w:val="28"/>
        </w:rPr>
      </w:pPr>
    </w:p>
    <w:p w14:paraId="4A23E27F">
      <w:pPr>
        <w:spacing w:before="120" w:after="0" w:line="240" w:lineRule="auto"/>
        <w:ind w:firstLine="567"/>
        <w:jc w:val="both"/>
        <w:rPr>
          <w:rFonts w:ascii="Times New Roman" w:hAnsi="Times New Roman" w:eastAsia="Times New Roman" w:cs="Times New Roman"/>
          <w:sz w:val="28"/>
        </w:rPr>
      </w:pPr>
      <w:r>
        <w:rPr>
          <w:rFonts w:ascii="Times New Roman" w:hAnsi="Times New Roman" w:eastAsia="Times New Roman" w:cs="Times New Roman"/>
          <w:sz w:val="28"/>
          <w:lang w:val="vi-VN"/>
        </w:rPr>
        <w:t>Thực hiện quy định của Luật ban hành văn bản quy phạm pháp luật số 64/2025/QH15, Luật sửa đổi, bổ sung một số điều của Luật Ban hành văn bản quy phạm pháp luật số 87/2025/QH15;</w:t>
      </w:r>
      <w:bookmarkStart w:id="3" w:name="_GoBack"/>
      <w:bookmarkEnd w:id="3"/>
      <w:r>
        <w:rPr>
          <w:rFonts w:ascii="Times New Roman" w:hAnsi="Times New Roman" w:eastAsia="Times New Roman" w:cs="Times New Roman"/>
          <w:sz w:val="28"/>
          <w:lang w:val="vi-VN"/>
        </w:rPr>
        <w:t xml:space="preserve"> thực hiện nhiệm vụ </w:t>
      </w:r>
      <w:r>
        <w:rPr>
          <w:rFonts w:ascii="Times New Roman" w:hAnsi="Times New Roman" w:eastAsia="Times New Roman" w:cs="Times New Roman"/>
          <w:sz w:val="28"/>
        </w:rPr>
        <w:t>Chính phủ giao tại Nghị quyết số 09/NQ-CP ngày 02 tháng 02 năm 2023 của Chính phủ ban hành Chương trình hành động của Chính phủ thực hiện Nghị quyết số 20-NQ/TW ngày 16 tháng 6 năm 2022, Hội nghị lần thứ năm, Ban Chấp hành Trung ương Đảng khóa XIII về tiếp tục đổi mới, phát triển và nâng cao hiệu quả kinh tế tập thể trong giai đoạn mới</w:t>
      </w:r>
      <w:r>
        <w:rPr>
          <w:rFonts w:hint="default" w:ascii="Times New Roman" w:hAnsi="Times New Roman" w:eastAsia="Times New Roman" w:cs="Times New Roman"/>
          <w:sz w:val="28"/>
          <w:lang w:val="en-US"/>
        </w:rPr>
        <w:t xml:space="preserve">; Quyết định số 125/QĐ-TTg ngày 16/01/2026 của Thủ tướng Chính phủ về việc ban hành Chương trình công tác năm 2026 của Chính phủ; </w:t>
      </w:r>
      <w:r>
        <w:rPr>
          <w:rFonts w:ascii="Times New Roman" w:hAnsi="Times New Roman" w:eastAsia="Times New Roman" w:cs="Times New Roman"/>
          <w:sz w:val="28"/>
        </w:rPr>
        <w:t xml:space="preserve">Bộ Nông nghiệp và Môi trường </w:t>
      </w:r>
      <w:r>
        <w:rPr>
          <w:rFonts w:ascii="Times New Roman" w:hAnsi="Times New Roman" w:eastAsia="Times New Roman" w:cs="Times New Roman"/>
          <w:spacing w:val="-2"/>
          <w:sz w:val="28"/>
        </w:rPr>
        <w:t xml:space="preserve">báo cáo </w:t>
      </w:r>
      <w:r>
        <w:rPr>
          <w:rFonts w:hint="default" w:ascii="Times New Roman" w:hAnsi="Times New Roman" w:eastAsia="Times New Roman" w:cs="Times New Roman"/>
          <w:spacing w:val="-2"/>
          <w:sz w:val="28"/>
          <w:lang w:val="en-US"/>
        </w:rPr>
        <w:t xml:space="preserve">tổng kết việc thi hành pháp luật hiện hành liên quan đến nội dung Nghị định số 98/2018/NĐ-CP ngày 05/07/2018 của Chính phủ về chính sách khuyến khích phát triển hợp tác, liên kết trong sản xuất và tiêu thụ sản phẩm nông nghiệp, </w:t>
      </w:r>
      <w:r>
        <w:rPr>
          <w:rFonts w:ascii="Times New Roman" w:hAnsi="Times New Roman" w:eastAsia="Times New Roman" w:cs="Times New Roman"/>
          <w:sz w:val="28"/>
        </w:rPr>
        <w:t xml:space="preserve">với </w:t>
      </w:r>
      <w:r>
        <w:rPr>
          <w:rFonts w:hint="default" w:ascii="Times New Roman" w:hAnsi="Times New Roman" w:eastAsia="Times New Roman" w:cs="Times New Roman"/>
          <w:sz w:val="28"/>
          <w:lang w:val="en-US"/>
        </w:rPr>
        <w:t xml:space="preserve">những </w:t>
      </w:r>
      <w:r>
        <w:rPr>
          <w:rFonts w:ascii="Times New Roman" w:hAnsi="Times New Roman" w:eastAsia="Times New Roman" w:cs="Times New Roman"/>
          <w:sz w:val="28"/>
        </w:rPr>
        <w:t>nội dung sau:</w:t>
      </w:r>
    </w:p>
    <w:p w14:paraId="1F5534EC">
      <w:pPr>
        <w:keepNext/>
        <w:spacing w:before="120" w:after="0" w:line="240" w:lineRule="auto"/>
        <w:ind w:right="-102" w:firstLine="539"/>
        <w:rPr>
          <w:rFonts w:hint="default" w:ascii="Times New Roman" w:hAnsi="Times New Roman" w:eastAsia="Times New Roman" w:cs="Times New Roman"/>
          <w:b/>
          <w:sz w:val="28"/>
          <w:lang w:val="en-US"/>
        </w:rPr>
      </w:pPr>
      <w:r>
        <w:rPr>
          <w:rFonts w:ascii="Times New Roman" w:hAnsi="Times New Roman" w:eastAsia="Times New Roman" w:cs="Times New Roman"/>
          <w:b/>
          <w:sz w:val="28"/>
        </w:rPr>
        <w:t xml:space="preserve">I. </w:t>
      </w:r>
      <w:r>
        <w:rPr>
          <w:rFonts w:hint="default" w:ascii="Times New Roman" w:hAnsi="Times New Roman" w:eastAsia="Times New Roman" w:cs="Times New Roman"/>
          <w:b/>
          <w:sz w:val="28"/>
          <w:lang w:val="en-US"/>
        </w:rPr>
        <w:t>BỐI CẢNH</w:t>
      </w:r>
      <w:r>
        <w:rPr>
          <w:rFonts w:ascii="Times New Roman" w:hAnsi="Times New Roman" w:eastAsia="Times New Roman" w:cs="Times New Roman"/>
          <w:b/>
          <w:sz w:val="28"/>
        </w:rPr>
        <w:t xml:space="preserve"> THỰC HIỆN </w:t>
      </w:r>
      <w:r>
        <w:rPr>
          <w:rFonts w:hint="default" w:ascii="Times New Roman" w:hAnsi="Times New Roman" w:eastAsia="Times New Roman" w:cs="Times New Roman"/>
          <w:b/>
          <w:sz w:val="28"/>
          <w:lang w:val="en-US"/>
        </w:rPr>
        <w:t>TỔNG KẾT</w:t>
      </w:r>
    </w:p>
    <w:p w14:paraId="40820522">
      <w:pPr>
        <w:spacing w:before="120" w:after="0" w:line="240" w:lineRule="auto"/>
        <w:ind w:firstLine="567"/>
        <w:jc w:val="both"/>
        <w:rPr>
          <w:rFonts w:hint="default" w:ascii="Times New Roman" w:hAnsi="Times New Roman" w:eastAsia="Times New Roman" w:cs="Times New Roman"/>
          <w:b/>
          <w:bCs/>
          <w:sz w:val="28"/>
          <w:lang w:val="en-US"/>
        </w:rPr>
      </w:pPr>
      <w:r>
        <w:rPr>
          <w:rFonts w:hint="default" w:ascii="Times New Roman" w:hAnsi="Times New Roman" w:eastAsia="Times New Roman" w:cs="Times New Roman"/>
          <w:b/>
          <w:bCs/>
          <w:sz w:val="28"/>
          <w:lang w:val="en-US"/>
        </w:rPr>
        <w:t>1. Bối cảnh trong nước và quốc tế liên quan đến sự cần thiết phải tổng kết và sửa đổi Nghị định số 98</w:t>
      </w:r>
    </w:p>
    <w:p w14:paraId="5DAC51B4">
      <w:pPr>
        <w:spacing w:before="120" w:after="0" w:line="240" w:lineRule="auto"/>
        <w:ind w:firstLine="567"/>
        <w:jc w:val="both"/>
        <w:rPr>
          <w:rFonts w:hint="default" w:ascii="Times New Roman" w:hAnsi="Times New Roman" w:eastAsia="Times New Roman" w:cs="Times New Roman"/>
          <w:b/>
          <w:bCs/>
          <w:i/>
          <w:iCs/>
          <w:sz w:val="28"/>
        </w:rPr>
      </w:pPr>
      <w:r>
        <w:rPr>
          <w:rFonts w:hint="default" w:ascii="Times New Roman" w:hAnsi="Times New Roman" w:eastAsia="Times New Roman" w:cs="Times New Roman"/>
          <w:b/>
          <w:bCs/>
          <w:i/>
          <w:iCs/>
          <w:sz w:val="28"/>
        </w:rPr>
        <w:t>1</w:t>
      </w:r>
      <w:r>
        <w:rPr>
          <w:rFonts w:hint="default" w:ascii="Times New Roman" w:hAnsi="Times New Roman" w:eastAsia="Times New Roman" w:cs="Times New Roman"/>
          <w:b/>
          <w:bCs/>
          <w:i/>
          <w:iCs/>
          <w:sz w:val="28"/>
          <w:lang w:val="en-US"/>
        </w:rPr>
        <w:t>.1</w:t>
      </w:r>
      <w:r>
        <w:rPr>
          <w:rFonts w:hint="default" w:ascii="Times New Roman" w:hAnsi="Times New Roman" w:eastAsia="Times New Roman" w:cs="Times New Roman"/>
          <w:b/>
          <w:bCs/>
          <w:i/>
          <w:iCs/>
          <w:sz w:val="28"/>
        </w:rPr>
        <w:t>. Bối cảnh trong nước</w:t>
      </w:r>
    </w:p>
    <w:p w14:paraId="4D1C30F7">
      <w:pPr>
        <w:spacing w:before="120" w:after="0" w:line="240" w:lineRule="auto"/>
        <w:ind w:firstLine="567"/>
        <w:jc w:val="both"/>
        <w:rPr>
          <w:rFonts w:hint="default" w:ascii="Times New Roman" w:hAnsi="Times New Roman" w:eastAsia="Times New Roman" w:cs="Times New Roman"/>
          <w:i/>
          <w:iCs/>
          <w:sz w:val="28"/>
        </w:rPr>
      </w:pPr>
      <w:r>
        <w:rPr>
          <w:rFonts w:hint="default" w:ascii="Times New Roman" w:hAnsi="Times New Roman" w:eastAsia="Times New Roman" w:cs="Times New Roman"/>
          <w:i/>
          <w:iCs/>
          <w:sz w:val="28"/>
        </w:rPr>
        <w:t>(</w:t>
      </w:r>
      <w:r>
        <w:rPr>
          <w:rFonts w:hint="default" w:ascii="Times New Roman" w:hAnsi="Times New Roman" w:eastAsia="Times New Roman" w:cs="Times New Roman"/>
          <w:i/>
          <w:iCs/>
          <w:sz w:val="28"/>
          <w:lang w:val="en-US"/>
        </w:rPr>
        <w:t>i</w:t>
      </w:r>
      <w:r>
        <w:rPr>
          <w:rFonts w:hint="default" w:ascii="Times New Roman" w:hAnsi="Times New Roman" w:eastAsia="Times New Roman" w:cs="Times New Roman"/>
          <w:i/>
          <w:iCs/>
          <w:sz w:val="28"/>
        </w:rPr>
        <w:t>) Yêu cầu đổi mới tư duy phát triển nông nghiệp theo hướng kinh tế nông nghiệp và chuỗi giá trị</w:t>
      </w:r>
    </w:p>
    <w:p w14:paraId="21054FA4">
      <w:pPr>
        <w:spacing w:before="120" w:after="0" w:line="240" w:lineRule="auto"/>
        <w:ind w:firstLine="567"/>
        <w:jc w:val="both"/>
        <w:rPr>
          <w:rFonts w:hint="default" w:ascii="Times New Roman" w:hAnsi="Times New Roman" w:eastAsia="Times New Roman" w:cs="Times New Roman"/>
          <w:sz w:val="28"/>
        </w:rPr>
      </w:pPr>
      <w:r>
        <w:rPr>
          <w:rFonts w:hint="default" w:ascii="Times New Roman" w:hAnsi="Times New Roman" w:eastAsia="Times New Roman" w:cs="Times New Roman"/>
          <w:sz w:val="28"/>
        </w:rPr>
        <w:t>Trong giai đoạn phát triển mới, nông nghiệp Việt Nam đang chuyển mạnh từ tư duy sản xuất nông nghiệp sang tư duy kinh tế nông nghiệp, lấy thị trường làm trung tâm và tổ chức lại sản xuất theo chuỗi giá trị. Các chiến lược và chính sách lớn của Đảng và Nhà nước đều nhấn mạnh yêu cầu phát triển các chuỗi giá trị nông sản có liên kết chặt chẽ giữa nông dân, hợp tác xã và doanh nghiệp.</w:t>
      </w:r>
    </w:p>
    <w:p w14:paraId="6697CEA0">
      <w:pPr>
        <w:spacing w:before="120" w:after="0" w:line="240" w:lineRule="auto"/>
        <w:ind w:firstLine="567"/>
        <w:jc w:val="both"/>
        <w:rPr>
          <w:rFonts w:hint="default" w:ascii="Times New Roman" w:hAnsi="Times New Roman" w:eastAsia="Times New Roman" w:cs="Times New Roman"/>
          <w:sz w:val="28"/>
        </w:rPr>
      </w:pPr>
      <w:r>
        <w:rPr>
          <w:rFonts w:hint="default" w:ascii="Times New Roman" w:hAnsi="Times New Roman" w:eastAsia="Times New Roman" w:cs="Times New Roman"/>
          <w:sz w:val="28"/>
        </w:rPr>
        <w:t>Thực tiễn cho thấy, sản xuất nông nghiệp của Việt Nam vẫn chủ yếu dựa trên hộ sản xuất nhỏ lẻ, phân tán, thiếu liên kết và khó kiểm soát chất lượng đồng bộ. Trong bối cảnh đó, liên kết chuỗi giá trị trở thành phương thức tổ chức sản xuất tất yếu nhằm nâng cao giá trị gia tăng, giảm chi phí trung gian và nâng cao năng lực cạnh tranh của nông sản Việt Nam trên thị trường trong nước và quốc tế.</w:t>
      </w:r>
    </w:p>
    <w:p w14:paraId="7F8FBBD5">
      <w:pPr>
        <w:spacing w:before="120" w:after="0" w:line="240" w:lineRule="auto"/>
        <w:ind w:firstLine="567"/>
        <w:jc w:val="both"/>
        <w:rPr>
          <w:rFonts w:hint="default" w:ascii="Times New Roman" w:hAnsi="Times New Roman" w:eastAsia="Times New Roman" w:cs="Times New Roman"/>
          <w:sz w:val="28"/>
          <w:lang w:val="en-US"/>
        </w:rPr>
      </w:pPr>
      <w:r>
        <w:rPr>
          <w:rFonts w:hint="default" w:ascii="Times New Roman" w:hAnsi="Times New Roman" w:eastAsia="Times New Roman" w:cs="Times New Roman"/>
          <w:sz w:val="28"/>
        </w:rPr>
        <w:t>Sau 06 năm triển khai, chính sách liên kết theo Nghị định 98 đã góp phần thúc đẩy hình thành gần 3.000 dự án và kế hoạch liên kết, với sự tham gia của hơn 2.400 hợp tác xã, 1.300 doanh nghiệp và hơn 211 nghìn hộ nông dân, từng bước hình thành các chuỗi liên kết trong nhiều ngành hàng chủ lực. Giá trị sản phẩm nông nghiệp được sản xuất dưới hình thức hợp tác và liên kết đã tăng từ khoảng 10% trước năm 2018 lên hơn 31% năm 2025</w:t>
      </w:r>
      <w:r>
        <w:rPr>
          <w:rFonts w:hint="default" w:ascii="Times New Roman" w:hAnsi="Times New Roman" w:eastAsia="Times New Roman" w:cs="Times New Roman"/>
          <w:sz w:val="28"/>
          <w:lang w:val="en-US"/>
        </w:rPr>
        <w:t>.</w:t>
      </w:r>
    </w:p>
    <w:p w14:paraId="03E1B76D">
      <w:pPr>
        <w:spacing w:before="120" w:after="0" w:line="240" w:lineRule="auto"/>
        <w:ind w:firstLine="567"/>
        <w:jc w:val="both"/>
        <w:rPr>
          <w:rFonts w:hint="default" w:ascii="Times New Roman" w:hAnsi="Times New Roman" w:eastAsia="Times New Roman" w:cs="Times New Roman"/>
          <w:sz w:val="28"/>
        </w:rPr>
      </w:pPr>
      <w:r>
        <w:rPr>
          <w:rFonts w:hint="default" w:ascii="Times New Roman" w:hAnsi="Times New Roman" w:eastAsia="Times New Roman" w:cs="Times New Roman"/>
          <w:sz w:val="28"/>
        </w:rPr>
        <w:t>Tuy nhiên, quá trình thực hiện cũng cho thấy liên kết chuỗi vẫn chủ yếu phát triển về số lượng nhưng chưa bền vững về chất lượng, nhiều chuỗi liên kết còn lỏng lẻo, chưa hình thành được cơ chế chia sẻ lợi ích và rủi ro giữa các tác nhân trong chuỗi. Điều này đặt ra yêu cầu cần tiếp tục hoàn thiện thể chế nhằm thúc đẩy liên kết chuỗi giá trị nông sản theo hướng thực chất, bền vững hơn.</w:t>
      </w:r>
    </w:p>
    <w:p w14:paraId="681EF844">
      <w:pPr>
        <w:spacing w:before="120" w:after="0" w:line="240" w:lineRule="auto"/>
        <w:ind w:firstLine="567"/>
        <w:jc w:val="both"/>
        <w:rPr>
          <w:rFonts w:hint="default" w:ascii="Times New Roman" w:hAnsi="Times New Roman" w:eastAsia="Times New Roman" w:cs="Times New Roman"/>
          <w:i/>
          <w:iCs/>
          <w:sz w:val="28"/>
        </w:rPr>
      </w:pPr>
      <w:r>
        <w:rPr>
          <w:rFonts w:hint="default" w:ascii="Times New Roman" w:hAnsi="Times New Roman" w:eastAsia="Times New Roman" w:cs="Times New Roman"/>
          <w:i/>
          <w:iCs/>
          <w:sz w:val="28"/>
        </w:rPr>
        <w:t>(</w:t>
      </w:r>
      <w:r>
        <w:rPr>
          <w:rFonts w:hint="default" w:ascii="Times New Roman" w:hAnsi="Times New Roman" w:eastAsia="Times New Roman" w:cs="Times New Roman"/>
          <w:i/>
          <w:iCs/>
          <w:sz w:val="28"/>
          <w:lang w:val="en-US"/>
        </w:rPr>
        <w:t>ii</w:t>
      </w:r>
      <w:r>
        <w:rPr>
          <w:rFonts w:hint="default" w:ascii="Times New Roman" w:hAnsi="Times New Roman" w:eastAsia="Times New Roman" w:cs="Times New Roman"/>
          <w:i/>
          <w:iCs/>
          <w:sz w:val="28"/>
        </w:rPr>
        <w:t>) Yêu cầu tổ chức lại sản xuất gắn với phát triển vùng nguyên liệu tập trung</w:t>
      </w:r>
    </w:p>
    <w:p w14:paraId="21FD61F4">
      <w:pPr>
        <w:spacing w:before="120" w:after="0" w:line="240" w:lineRule="auto"/>
        <w:ind w:firstLine="567"/>
        <w:jc w:val="both"/>
        <w:rPr>
          <w:rFonts w:hint="default" w:ascii="Times New Roman" w:hAnsi="Times New Roman" w:eastAsia="Times New Roman" w:cs="Times New Roman"/>
          <w:sz w:val="28"/>
        </w:rPr>
      </w:pPr>
      <w:r>
        <w:rPr>
          <w:rFonts w:hint="default" w:ascii="Times New Roman" w:hAnsi="Times New Roman" w:eastAsia="Times New Roman" w:cs="Times New Roman"/>
          <w:sz w:val="28"/>
        </w:rPr>
        <w:t>Một trong những vấn đề lớn của nông nghiệp Việt Nam hiện nay là thiếu các vùng nguyên liệu quy mô lớn, ổn định và đạt chuẩn để phục vụ chế biến sâu và xuất khẩu. Trong khi đó, các doanh nghiệp chế biến và xuất khẩu ngày càng có nhu cầu nguồn nguyên liệu có truy xuất nguồn gốc, đạt tiêu chuẩn kỹ thuật và ổn định về sản lượng.</w:t>
      </w:r>
      <w:r>
        <w:rPr>
          <w:rFonts w:hint="default" w:ascii="Times New Roman" w:hAnsi="Times New Roman" w:eastAsia="Times New Roman" w:cs="Times New Roman"/>
          <w:sz w:val="28"/>
          <w:lang w:val="en-US"/>
        </w:rPr>
        <w:t xml:space="preserve"> </w:t>
      </w:r>
      <w:r>
        <w:rPr>
          <w:rFonts w:hint="default" w:ascii="Times New Roman" w:hAnsi="Times New Roman" w:eastAsia="Times New Roman" w:cs="Times New Roman"/>
          <w:sz w:val="28"/>
        </w:rPr>
        <w:t>Thực tiễn triển khai nhiều chương trình và đề án lớn của Chính phủ như:</w:t>
      </w:r>
      <w:r>
        <w:rPr>
          <w:rFonts w:hint="default" w:ascii="Times New Roman" w:hAnsi="Times New Roman" w:eastAsia="Times New Roman" w:cs="Times New Roman"/>
          <w:sz w:val="28"/>
          <w:lang w:val="en-US"/>
        </w:rPr>
        <w:t xml:space="preserve"> </w:t>
      </w:r>
      <w:r>
        <w:rPr>
          <w:rFonts w:hint="default" w:ascii="Times New Roman" w:hAnsi="Times New Roman" w:eastAsia="Times New Roman" w:cs="Times New Roman"/>
          <w:sz w:val="28"/>
        </w:rPr>
        <w:t>Đề án phát triển 1 triệu ha lúa chất lượng cao, phát thải thấp tại Đồng bằng sông Cửu Long;</w:t>
      </w:r>
      <w:r>
        <w:rPr>
          <w:rFonts w:hint="default" w:ascii="Times New Roman" w:hAnsi="Times New Roman" w:eastAsia="Times New Roman" w:cs="Times New Roman"/>
          <w:sz w:val="28"/>
          <w:lang w:val="en-US"/>
        </w:rPr>
        <w:t xml:space="preserve"> </w:t>
      </w:r>
      <w:r>
        <w:rPr>
          <w:rFonts w:hint="default" w:ascii="Times New Roman" w:hAnsi="Times New Roman" w:eastAsia="Times New Roman" w:cs="Times New Roman"/>
          <w:sz w:val="28"/>
        </w:rPr>
        <w:t>Đề án thí điểm phát triển vùng nguyên liệu nông, lâm sản đạt chuẩn phục vụ chế biến và xuất khẩu;</w:t>
      </w:r>
      <w:r>
        <w:rPr>
          <w:rFonts w:hint="default" w:ascii="Times New Roman" w:hAnsi="Times New Roman" w:eastAsia="Times New Roman" w:cs="Times New Roman"/>
          <w:sz w:val="28"/>
          <w:lang w:val="en-US"/>
        </w:rPr>
        <w:t xml:space="preserve"> </w:t>
      </w:r>
      <w:r>
        <w:rPr>
          <w:rFonts w:hint="default" w:ascii="Times New Roman" w:hAnsi="Times New Roman" w:eastAsia="Times New Roman" w:cs="Times New Roman"/>
          <w:sz w:val="28"/>
        </w:rPr>
        <w:t>Các chương trình phát triển ngành hàng chủ lực;</w:t>
      </w:r>
      <w:r>
        <w:rPr>
          <w:rFonts w:hint="default" w:ascii="Times New Roman" w:hAnsi="Times New Roman" w:eastAsia="Times New Roman" w:cs="Times New Roman"/>
          <w:sz w:val="28"/>
          <w:lang w:val="en-US"/>
        </w:rPr>
        <w:t xml:space="preserve"> </w:t>
      </w:r>
      <w:r>
        <w:rPr>
          <w:rFonts w:hint="default" w:ascii="Times New Roman" w:hAnsi="Times New Roman" w:eastAsia="Times New Roman" w:cs="Times New Roman"/>
          <w:sz w:val="28"/>
        </w:rPr>
        <w:t>cho thấy vùng nguyên liệu và liên kết chuỗi giá trị có mối quan hệ hữu cơ với nhau. Vùng nguyên liệu là nền tảng để tổ chức sản xuất theo chuỗi, trong khi liên kết chuỗi là công cụ để duy trì sự ổn định và hiệu quả của vùng nguyên liệu.</w:t>
      </w:r>
    </w:p>
    <w:p w14:paraId="66F58C52">
      <w:pPr>
        <w:spacing w:before="120" w:after="0" w:line="240" w:lineRule="auto"/>
        <w:ind w:firstLine="567"/>
        <w:jc w:val="both"/>
        <w:rPr>
          <w:rFonts w:hint="default" w:ascii="Times New Roman" w:hAnsi="Times New Roman" w:eastAsia="Times New Roman" w:cs="Times New Roman"/>
          <w:sz w:val="28"/>
        </w:rPr>
      </w:pPr>
      <w:r>
        <w:rPr>
          <w:rFonts w:hint="default" w:ascii="Times New Roman" w:hAnsi="Times New Roman" w:eastAsia="Times New Roman" w:cs="Times New Roman"/>
          <w:sz w:val="28"/>
        </w:rPr>
        <w:t>Tuy nhiên, Nghị định 98 hiện nay chưa có quy định riêng về phát triển vùng nguyên liệu nông sản đạt chuẩn, cũng như chưa tích hợp các chính sách hỗ trợ về hạ tầng, truy xuất nguồn gốc, chuyển đổi số và chuyển đổi xanh trong vùng nguyên liệu. Do đó, việc sửa đổi Nghị định là cần thiết để tạo cơ sở pháp lý đồng bộ cho việc phát triển các vùng nguyên liệu lớn gắn với chuỗi giá trị.</w:t>
      </w:r>
    </w:p>
    <w:p w14:paraId="22BE627C">
      <w:pPr>
        <w:spacing w:before="120" w:after="0" w:line="240" w:lineRule="auto"/>
        <w:ind w:firstLine="567"/>
        <w:jc w:val="both"/>
        <w:rPr>
          <w:rFonts w:hint="default" w:ascii="Times New Roman" w:hAnsi="Times New Roman" w:eastAsia="Times New Roman" w:cs="Times New Roman"/>
          <w:i/>
          <w:iCs/>
          <w:sz w:val="28"/>
        </w:rPr>
      </w:pPr>
      <w:r>
        <w:rPr>
          <w:rFonts w:hint="default" w:ascii="Times New Roman" w:hAnsi="Times New Roman" w:eastAsia="Times New Roman" w:cs="Times New Roman"/>
          <w:i/>
          <w:iCs/>
          <w:sz w:val="28"/>
        </w:rPr>
        <w:t>(</w:t>
      </w:r>
      <w:r>
        <w:rPr>
          <w:rFonts w:hint="default" w:ascii="Times New Roman" w:hAnsi="Times New Roman" w:eastAsia="Times New Roman" w:cs="Times New Roman"/>
          <w:i/>
          <w:iCs/>
          <w:sz w:val="28"/>
          <w:lang w:val="en-US"/>
        </w:rPr>
        <w:t>iii</w:t>
      </w:r>
      <w:r>
        <w:rPr>
          <w:rFonts w:hint="default" w:ascii="Times New Roman" w:hAnsi="Times New Roman" w:eastAsia="Times New Roman" w:cs="Times New Roman"/>
          <w:i/>
          <w:iCs/>
          <w:sz w:val="28"/>
        </w:rPr>
        <w:t xml:space="preserve">) Yêu cầu nâng cao vai trò của </w:t>
      </w:r>
      <w:r>
        <w:rPr>
          <w:rFonts w:hint="default" w:ascii="Times New Roman" w:hAnsi="Times New Roman" w:eastAsia="Times New Roman" w:cs="Times New Roman"/>
          <w:i/>
          <w:iCs/>
          <w:sz w:val="28"/>
          <w:lang w:val="en-US"/>
        </w:rPr>
        <w:t>HTX</w:t>
      </w:r>
      <w:r>
        <w:rPr>
          <w:rFonts w:hint="default" w:ascii="Times New Roman" w:hAnsi="Times New Roman" w:eastAsia="Times New Roman" w:cs="Times New Roman"/>
          <w:i/>
          <w:iCs/>
          <w:sz w:val="28"/>
        </w:rPr>
        <w:t xml:space="preserve"> trong tổ chức sản xuất và liên kết chuỗi</w:t>
      </w:r>
    </w:p>
    <w:p w14:paraId="7F421F72">
      <w:pPr>
        <w:spacing w:before="120" w:after="0" w:line="240" w:lineRule="auto"/>
        <w:ind w:firstLine="567"/>
        <w:jc w:val="both"/>
        <w:rPr>
          <w:rFonts w:hint="default" w:ascii="Times New Roman" w:hAnsi="Times New Roman" w:eastAsia="Times New Roman" w:cs="Times New Roman"/>
          <w:sz w:val="28"/>
        </w:rPr>
      </w:pPr>
      <w:r>
        <w:rPr>
          <w:rFonts w:hint="default" w:ascii="Times New Roman" w:hAnsi="Times New Roman" w:eastAsia="Times New Roman" w:cs="Times New Roman"/>
          <w:sz w:val="28"/>
        </w:rPr>
        <w:t>Trong mô hình chuỗi giá trị nông nghiệp hiện đại, hợp tác xã nông nghiệp được xác định là tác nhân trung tâm để tổ chức sản xuất của các hộ nông dân, điều phối quy trình kỹ thuật, kiểm soát chất lượng và kết nối với doanh nghiệp.</w:t>
      </w:r>
    </w:p>
    <w:p w14:paraId="723248D6">
      <w:pPr>
        <w:spacing w:before="120" w:after="0" w:line="240" w:lineRule="auto"/>
        <w:ind w:firstLine="567"/>
        <w:jc w:val="both"/>
        <w:rPr>
          <w:rFonts w:hint="default" w:ascii="Times New Roman" w:hAnsi="Times New Roman" w:eastAsia="Times New Roman" w:cs="Times New Roman"/>
          <w:sz w:val="28"/>
        </w:rPr>
      </w:pPr>
      <w:r>
        <w:rPr>
          <w:rFonts w:hint="default" w:ascii="Times New Roman" w:hAnsi="Times New Roman" w:eastAsia="Times New Roman" w:cs="Times New Roman"/>
          <w:sz w:val="28"/>
        </w:rPr>
        <w:t>Thực tế triển khai Nghị định 98 cho thấy hợp tác xã đóng vai trò chủ trì trong khoảng 79% số dự án, kế hoạch liên kết đã được phê duyệt. Tuy nhiên, năng lực quản trị của nhiều hợp tác xã còn hạn chế, quy mô vốn nhỏ, khó tiếp cận tín dụng và thiếu nguồn lực để đầu tư hạ tầng phục vụ liên kết.</w:t>
      </w:r>
    </w:p>
    <w:p w14:paraId="493477C9">
      <w:pPr>
        <w:spacing w:before="120" w:after="0" w:line="240" w:lineRule="auto"/>
        <w:ind w:firstLine="567"/>
        <w:jc w:val="both"/>
        <w:rPr>
          <w:rFonts w:hint="default" w:ascii="Times New Roman" w:hAnsi="Times New Roman" w:eastAsia="Times New Roman" w:cs="Times New Roman"/>
          <w:sz w:val="28"/>
        </w:rPr>
      </w:pPr>
      <w:r>
        <w:rPr>
          <w:rFonts w:hint="default" w:ascii="Times New Roman" w:hAnsi="Times New Roman" w:eastAsia="Times New Roman" w:cs="Times New Roman"/>
          <w:sz w:val="28"/>
        </w:rPr>
        <w:t>Bên cạnh đó, cơ chế hỗ trợ hiện hành chủ yếu mang tính hỗ trợ dự án ngắn hạn, chưa tạo được động lực dài hạn để hợp tác xã và doanh nghiệp đầu tư phát triển chuỗi giá trị. Điều này đòi hỏi chính sách liên kết phải được điều chỉnh theo hướng nâng cao năng lực quản trị chuỗi, thúc đẩy các mô hình hợp tác xã kiểu mới và hình thành hệ sinh thái dịch vụ hỗ trợ liên kết.</w:t>
      </w:r>
    </w:p>
    <w:p w14:paraId="7A7B0965">
      <w:pPr>
        <w:spacing w:before="120" w:after="0" w:line="240" w:lineRule="auto"/>
        <w:ind w:firstLine="567"/>
        <w:jc w:val="both"/>
        <w:rPr>
          <w:rFonts w:hint="default" w:ascii="Times New Roman" w:hAnsi="Times New Roman" w:eastAsia="Times New Roman" w:cs="Times New Roman"/>
          <w:i/>
          <w:iCs/>
          <w:sz w:val="28"/>
        </w:rPr>
      </w:pPr>
      <w:r>
        <w:rPr>
          <w:rFonts w:hint="default" w:ascii="Times New Roman" w:hAnsi="Times New Roman" w:eastAsia="Times New Roman" w:cs="Times New Roman"/>
          <w:i/>
          <w:iCs/>
          <w:sz w:val="28"/>
        </w:rPr>
        <w:t>(</w:t>
      </w:r>
      <w:r>
        <w:rPr>
          <w:rFonts w:hint="default" w:ascii="Times New Roman" w:hAnsi="Times New Roman" w:eastAsia="Times New Roman" w:cs="Times New Roman"/>
          <w:i/>
          <w:iCs/>
          <w:sz w:val="28"/>
          <w:lang w:val="en-US"/>
        </w:rPr>
        <w:t>iv</w:t>
      </w:r>
      <w:r>
        <w:rPr>
          <w:rFonts w:hint="default" w:ascii="Times New Roman" w:hAnsi="Times New Roman" w:eastAsia="Times New Roman" w:cs="Times New Roman"/>
          <w:i/>
          <w:iCs/>
          <w:sz w:val="28"/>
        </w:rPr>
        <w:t>) Yêu cầu đơn giản hóa thủ tục và nâng cao hiệu quả thực thi chính sách</w:t>
      </w:r>
    </w:p>
    <w:p w14:paraId="1D97356A">
      <w:pPr>
        <w:spacing w:before="120" w:after="0" w:line="240" w:lineRule="auto"/>
        <w:ind w:firstLine="567"/>
        <w:jc w:val="both"/>
        <w:rPr>
          <w:rFonts w:hint="default" w:ascii="Times New Roman" w:hAnsi="Times New Roman" w:eastAsia="Times New Roman" w:cs="Times New Roman"/>
          <w:sz w:val="28"/>
        </w:rPr>
      </w:pPr>
      <w:r>
        <w:rPr>
          <w:rFonts w:hint="default" w:ascii="Times New Roman" w:hAnsi="Times New Roman" w:eastAsia="Times New Roman" w:cs="Times New Roman"/>
          <w:sz w:val="28"/>
        </w:rPr>
        <w:t>Một trong những hạn chế lớn của Nghị định 98 là quy trình, thủ tục thực hiện còn phức tạp, thiếu thống nhất giữa các địa phương và giữa các nguồn vốn hỗ trợ khác nhau.</w:t>
      </w:r>
      <w:r>
        <w:rPr>
          <w:rFonts w:hint="default" w:ascii="Times New Roman" w:hAnsi="Times New Roman" w:eastAsia="Times New Roman" w:cs="Times New Roman"/>
          <w:sz w:val="28"/>
          <w:lang w:val="en-US"/>
        </w:rPr>
        <w:t xml:space="preserve"> </w:t>
      </w:r>
      <w:r>
        <w:rPr>
          <w:rFonts w:hint="default" w:ascii="Times New Roman" w:hAnsi="Times New Roman" w:eastAsia="Times New Roman" w:cs="Times New Roman"/>
          <w:sz w:val="28"/>
        </w:rPr>
        <w:t>Theo phản ánh của các địa phương và doanh nghiệp tại Hội nghị sơ kết 06 năm thực hiện Nghị định 98, nhiều dự án liên kết gặp khó khăn do:</w:t>
      </w:r>
      <w:r>
        <w:rPr>
          <w:rFonts w:hint="default" w:ascii="Times New Roman" w:hAnsi="Times New Roman" w:eastAsia="Times New Roman" w:cs="Times New Roman"/>
          <w:sz w:val="28"/>
          <w:lang w:val="en-US"/>
        </w:rPr>
        <w:t xml:space="preserve"> </w:t>
      </w:r>
      <w:r>
        <w:rPr>
          <w:rFonts w:hint="default" w:ascii="Times New Roman" w:hAnsi="Times New Roman" w:eastAsia="Times New Roman" w:cs="Times New Roman"/>
          <w:sz w:val="28"/>
        </w:rPr>
        <w:t>thủ tục phê duyệt, thẩm định và giải ngân phức tạp;</w:t>
      </w:r>
      <w:r>
        <w:rPr>
          <w:rFonts w:hint="default" w:ascii="Times New Roman" w:hAnsi="Times New Roman" w:eastAsia="Times New Roman" w:cs="Times New Roman"/>
          <w:sz w:val="28"/>
          <w:lang w:val="en-US"/>
        </w:rPr>
        <w:t xml:space="preserve"> </w:t>
      </w:r>
      <w:r>
        <w:rPr>
          <w:rFonts w:hint="default" w:ascii="Times New Roman" w:hAnsi="Times New Roman" w:eastAsia="Times New Roman" w:cs="Times New Roman"/>
          <w:sz w:val="28"/>
        </w:rPr>
        <w:t>sự chồng chéo giữa Nghị định 98 và các chương trình mục tiêu quốc gia;</w:t>
      </w:r>
      <w:r>
        <w:rPr>
          <w:rFonts w:hint="default" w:ascii="Times New Roman" w:hAnsi="Times New Roman" w:eastAsia="Times New Roman" w:cs="Times New Roman"/>
          <w:sz w:val="28"/>
          <w:lang w:val="en-US"/>
        </w:rPr>
        <w:t xml:space="preserve"> </w:t>
      </w:r>
      <w:r>
        <w:rPr>
          <w:rFonts w:hint="default" w:ascii="Times New Roman" w:hAnsi="Times New Roman" w:eastAsia="Times New Roman" w:cs="Times New Roman"/>
          <w:sz w:val="28"/>
        </w:rPr>
        <w:t>thiếu cơ chế tín dụng, bảo hiểm và chia sẻ rủi ro trong chuỗi liên kết.</w:t>
      </w:r>
    </w:p>
    <w:p w14:paraId="5435F0FA">
      <w:pPr>
        <w:spacing w:before="120" w:after="0" w:line="240" w:lineRule="auto"/>
        <w:ind w:firstLine="567"/>
        <w:jc w:val="both"/>
        <w:rPr>
          <w:rFonts w:hint="default" w:ascii="Times New Roman" w:hAnsi="Times New Roman" w:eastAsia="Times New Roman" w:cs="Times New Roman"/>
          <w:sz w:val="28"/>
        </w:rPr>
      </w:pPr>
      <w:r>
        <w:rPr>
          <w:rFonts w:hint="default" w:ascii="Times New Roman" w:hAnsi="Times New Roman" w:eastAsia="Times New Roman" w:cs="Times New Roman"/>
          <w:sz w:val="28"/>
        </w:rPr>
        <w:t>Các ý kiến tại hội nghị</w:t>
      </w:r>
      <w:r>
        <w:rPr>
          <w:rFonts w:hint="default" w:ascii="Times New Roman" w:hAnsi="Times New Roman" w:eastAsia="Times New Roman" w:cs="Times New Roman"/>
          <w:sz w:val="28"/>
          <w:lang w:val="en-US"/>
        </w:rPr>
        <w:t xml:space="preserve"> Tổng kết 06 năm thực hiện Nghị định số 98 (năm 2025)</w:t>
      </w:r>
      <w:r>
        <w:rPr>
          <w:rFonts w:hint="default" w:ascii="Times New Roman" w:hAnsi="Times New Roman" w:eastAsia="Times New Roman" w:cs="Times New Roman"/>
          <w:sz w:val="28"/>
        </w:rPr>
        <w:t xml:space="preserve"> đều thống nhất rằng cần sửa đổi Nghị định theo hướng đơn giản hóa thủ tục, tăng tính linh hoạt và tích hợp các chính sách hỗ trợ mới như tín dụng xanh, chuyển đổi số và phát triển vùng nguyên liệu </w:t>
      </w:r>
    </w:p>
    <w:p w14:paraId="201AC5A9">
      <w:pPr>
        <w:spacing w:before="120" w:after="0" w:line="240" w:lineRule="auto"/>
        <w:ind w:firstLine="567"/>
        <w:jc w:val="both"/>
        <w:rPr>
          <w:rFonts w:hint="default" w:ascii="Times New Roman" w:hAnsi="Times New Roman" w:eastAsia="Times New Roman" w:cs="Times New Roman"/>
          <w:b/>
          <w:bCs/>
          <w:i/>
          <w:iCs/>
          <w:sz w:val="28"/>
        </w:rPr>
      </w:pPr>
      <w:r>
        <w:rPr>
          <w:rFonts w:hint="default" w:ascii="Times New Roman" w:hAnsi="Times New Roman" w:eastAsia="Times New Roman" w:cs="Times New Roman"/>
          <w:b/>
          <w:bCs/>
          <w:i/>
          <w:iCs/>
          <w:sz w:val="28"/>
          <w:lang w:val="en-US"/>
        </w:rPr>
        <w:t>1.</w:t>
      </w:r>
      <w:r>
        <w:rPr>
          <w:rFonts w:hint="default" w:ascii="Times New Roman" w:hAnsi="Times New Roman" w:eastAsia="Times New Roman" w:cs="Times New Roman"/>
          <w:b/>
          <w:bCs/>
          <w:i/>
          <w:iCs/>
          <w:sz w:val="28"/>
        </w:rPr>
        <w:t>2. Bối cảnh quốc tế</w:t>
      </w:r>
    </w:p>
    <w:p w14:paraId="4CBBCAF3">
      <w:pPr>
        <w:spacing w:before="120" w:after="0" w:line="240" w:lineRule="auto"/>
        <w:ind w:firstLine="567"/>
        <w:jc w:val="both"/>
        <w:rPr>
          <w:rFonts w:hint="default" w:ascii="Times New Roman" w:hAnsi="Times New Roman" w:eastAsia="Times New Roman" w:cs="Times New Roman"/>
          <w:i/>
          <w:iCs/>
          <w:sz w:val="28"/>
        </w:rPr>
      </w:pPr>
      <w:r>
        <w:rPr>
          <w:rFonts w:hint="default" w:ascii="Times New Roman" w:hAnsi="Times New Roman" w:eastAsia="Times New Roman" w:cs="Times New Roman"/>
          <w:i/>
          <w:iCs/>
          <w:sz w:val="28"/>
        </w:rPr>
        <w:t>(</w:t>
      </w:r>
      <w:r>
        <w:rPr>
          <w:rFonts w:hint="default" w:ascii="Times New Roman" w:hAnsi="Times New Roman" w:eastAsia="Times New Roman" w:cs="Times New Roman"/>
          <w:i/>
          <w:iCs/>
          <w:sz w:val="28"/>
          <w:lang w:val="en-US"/>
        </w:rPr>
        <w:t>i</w:t>
      </w:r>
      <w:r>
        <w:rPr>
          <w:rFonts w:hint="default" w:ascii="Times New Roman" w:hAnsi="Times New Roman" w:eastAsia="Times New Roman" w:cs="Times New Roman"/>
          <w:i/>
          <w:iCs/>
          <w:sz w:val="28"/>
        </w:rPr>
        <w:t>) Xu hướng phát triển chuỗi giá trị nông nghiệp toàn cầu</w:t>
      </w:r>
    </w:p>
    <w:p w14:paraId="4AF89CC2">
      <w:pPr>
        <w:spacing w:before="120" w:after="0" w:line="240" w:lineRule="auto"/>
        <w:ind w:firstLine="567"/>
        <w:jc w:val="both"/>
        <w:rPr>
          <w:rFonts w:hint="default" w:ascii="Times New Roman" w:hAnsi="Times New Roman" w:eastAsia="Times New Roman" w:cs="Times New Roman"/>
          <w:sz w:val="28"/>
        </w:rPr>
      </w:pPr>
      <w:r>
        <w:rPr>
          <w:rFonts w:hint="default" w:ascii="Times New Roman" w:hAnsi="Times New Roman" w:eastAsia="Times New Roman" w:cs="Times New Roman"/>
          <w:sz w:val="28"/>
        </w:rPr>
        <w:t>Trong bối cảnh toàn cầu hóa và hội nhập kinh tế quốc tế, các chuỗi giá trị nông sản ngày càng được tổ chức theo mô hình liên kết dọc từ sản xuất đến chế biến và tiêu thụ, trong đó doanh nghiệp, hợp tác xã và nông dân tham gia vào các mạng lưới sản xuất và phân phối quy mô lớn.</w:t>
      </w:r>
      <w:r>
        <w:rPr>
          <w:rFonts w:hint="default" w:ascii="Times New Roman" w:hAnsi="Times New Roman" w:eastAsia="Times New Roman" w:cs="Times New Roman"/>
          <w:sz w:val="28"/>
          <w:lang w:val="en-US"/>
        </w:rPr>
        <w:t xml:space="preserve"> </w:t>
      </w:r>
      <w:r>
        <w:rPr>
          <w:rFonts w:hint="default" w:ascii="Times New Roman" w:hAnsi="Times New Roman" w:eastAsia="Times New Roman" w:cs="Times New Roman"/>
          <w:sz w:val="28"/>
        </w:rPr>
        <w:t>Nhiều quốc gia có nền nông nghiệp phát triển như Hà Lan, Nhật Bản, Hàn Quốc và New Zealand đã xây dựng các hệ thống liên kết chuỗi giá trị chặt chẽ, trong đó hợp tác xã đóng vai trò trung tâm trong việc tổ chức sản xuất, cung ứng dịch vụ đầu vào, thu mua và tiêu thụ nông sản.</w:t>
      </w:r>
    </w:p>
    <w:p w14:paraId="4B061D7A">
      <w:pPr>
        <w:spacing w:before="120" w:after="0" w:line="240" w:lineRule="auto"/>
        <w:ind w:firstLine="567"/>
        <w:jc w:val="both"/>
        <w:rPr>
          <w:rFonts w:hint="default" w:ascii="Times New Roman" w:hAnsi="Times New Roman" w:eastAsia="Times New Roman" w:cs="Times New Roman"/>
          <w:sz w:val="28"/>
        </w:rPr>
      </w:pPr>
      <w:r>
        <w:rPr>
          <w:rFonts w:hint="default" w:ascii="Times New Roman" w:hAnsi="Times New Roman" w:eastAsia="Times New Roman" w:cs="Times New Roman"/>
          <w:sz w:val="28"/>
        </w:rPr>
        <w:t>Xu hướng này cho thấy, để nâng cao năng lực cạnh tranh của nông sản Việt Nam, cần tiếp tục hoàn thiện thể chế nhằm thúc đẩy các mô hình liên kết chuỗi giá trị hiện đại, minh bạch và bền vững.</w:t>
      </w:r>
    </w:p>
    <w:p w14:paraId="3CFC553C">
      <w:pPr>
        <w:spacing w:before="120" w:after="0" w:line="240" w:lineRule="auto"/>
        <w:ind w:firstLine="567"/>
        <w:jc w:val="both"/>
        <w:rPr>
          <w:rFonts w:hint="default" w:ascii="Times New Roman" w:hAnsi="Times New Roman" w:eastAsia="Times New Roman" w:cs="Times New Roman"/>
          <w:i/>
          <w:iCs/>
          <w:sz w:val="28"/>
        </w:rPr>
      </w:pPr>
      <w:r>
        <w:rPr>
          <w:rFonts w:hint="default" w:ascii="Times New Roman" w:hAnsi="Times New Roman" w:eastAsia="Times New Roman" w:cs="Times New Roman"/>
          <w:i/>
          <w:iCs/>
          <w:sz w:val="28"/>
        </w:rPr>
        <w:t>(</w:t>
      </w:r>
      <w:r>
        <w:rPr>
          <w:rFonts w:hint="default" w:ascii="Times New Roman" w:hAnsi="Times New Roman" w:eastAsia="Times New Roman" w:cs="Times New Roman"/>
          <w:i/>
          <w:iCs/>
          <w:sz w:val="28"/>
          <w:lang w:val="en-US"/>
        </w:rPr>
        <w:t>ii</w:t>
      </w:r>
      <w:r>
        <w:rPr>
          <w:rFonts w:hint="default" w:ascii="Times New Roman" w:hAnsi="Times New Roman" w:eastAsia="Times New Roman" w:cs="Times New Roman"/>
          <w:i/>
          <w:iCs/>
          <w:sz w:val="28"/>
        </w:rPr>
        <w:t>) Yêu cầu mới của thị trường quốc tế về truy xuất nguồn gốc và phát triển bền vững</w:t>
      </w:r>
    </w:p>
    <w:p w14:paraId="70FC37A5">
      <w:pPr>
        <w:spacing w:before="120" w:after="0" w:line="240" w:lineRule="auto"/>
        <w:ind w:firstLine="567"/>
        <w:jc w:val="both"/>
        <w:rPr>
          <w:rFonts w:hint="default" w:ascii="Times New Roman" w:hAnsi="Times New Roman" w:eastAsia="Times New Roman" w:cs="Times New Roman"/>
          <w:sz w:val="28"/>
        </w:rPr>
      </w:pPr>
      <w:r>
        <w:rPr>
          <w:rFonts w:hint="default" w:ascii="Times New Roman" w:hAnsi="Times New Roman" w:eastAsia="Times New Roman" w:cs="Times New Roman"/>
          <w:sz w:val="28"/>
        </w:rPr>
        <w:t>Các thị trường xuất khẩu lớn của Việt Nam như Liên minh châu Âu, Hoa Kỳ, Nhật Bản và Hàn Quốc đang áp dụng ngày càng nhiều tiêu chuẩn khắt khe về:</w:t>
      </w:r>
      <w:r>
        <w:rPr>
          <w:rFonts w:hint="default" w:ascii="Times New Roman" w:hAnsi="Times New Roman" w:eastAsia="Times New Roman" w:cs="Times New Roman"/>
          <w:sz w:val="28"/>
          <w:lang w:val="en-US"/>
        </w:rPr>
        <w:t xml:space="preserve"> </w:t>
      </w:r>
      <w:r>
        <w:rPr>
          <w:rFonts w:hint="default" w:ascii="Times New Roman" w:hAnsi="Times New Roman" w:eastAsia="Times New Roman" w:cs="Times New Roman"/>
          <w:sz w:val="28"/>
        </w:rPr>
        <w:t>truy xuất nguồn gốc sản phẩm;</w:t>
      </w:r>
      <w:r>
        <w:rPr>
          <w:rFonts w:hint="default" w:ascii="Times New Roman" w:hAnsi="Times New Roman" w:eastAsia="Times New Roman" w:cs="Times New Roman"/>
          <w:sz w:val="28"/>
          <w:lang w:val="en-US"/>
        </w:rPr>
        <w:t xml:space="preserve"> </w:t>
      </w:r>
      <w:r>
        <w:rPr>
          <w:rFonts w:hint="default" w:ascii="Times New Roman" w:hAnsi="Times New Roman" w:eastAsia="Times New Roman" w:cs="Times New Roman"/>
          <w:sz w:val="28"/>
        </w:rPr>
        <w:t>sản xuất nông nghiệp bền vững;</w:t>
      </w:r>
      <w:r>
        <w:rPr>
          <w:rFonts w:hint="default" w:ascii="Times New Roman" w:hAnsi="Times New Roman" w:eastAsia="Times New Roman" w:cs="Times New Roman"/>
          <w:sz w:val="28"/>
          <w:lang w:val="en-US"/>
        </w:rPr>
        <w:t xml:space="preserve"> </w:t>
      </w:r>
      <w:r>
        <w:rPr>
          <w:rFonts w:hint="default" w:ascii="Times New Roman" w:hAnsi="Times New Roman" w:eastAsia="Times New Roman" w:cs="Times New Roman"/>
          <w:sz w:val="28"/>
        </w:rPr>
        <w:t>giảm phát thải khí nhà kính;</w:t>
      </w:r>
      <w:r>
        <w:rPr>
          <w:rFonts w:hint="default" w:ascii="Times New Roman" w:hAnsi="Times New Roman" w:eastAsia="Times New Roman" w:cs="Times New Roman"/>
          <w:sz w:val="28"/>
          <w:lang w:val="en-US"/>
        </w:rPr>
        <w:t xml:space="preserve"> </w:t>
      </w:r>
      <w:r>
        <w:rPr>
          <w:rFonts w:hint="default" w:ascii="Times New Roman" w:hAnsi="Times New Roman" w:eastAsia="Times New Roman" w:cs="Times New Roman"/>
          <w:sz w:val="28"/>
        </w:rPr>
        <w:t>bảo vệ môi trường và đa dạng sinh học.</w:t>
      </w:r>
      <w:r>
        <w:rPr>
          <w:rFonts w:hint="default" w:ascii="Times New Roman" w:hAnsi="Times New Roman" w:eastAsia="Times New Roman" w:cs="Times New Roman"/>
          <w:sz w:val="28"/>
          <w:lang w:val="en-US"/>
        </w:rPr>
        <w:t xml:space="preserve"> </w:t>
      </w:r>
      <w:r>
        <w:rPr>
          <w:rFonts w:hint="default" w:ascii="Times New Roman" w:hAnsi="Times New Roman" w:eastAsia="Times New Roman" w:cs="Times New Roman"/>
          <w:sz w:val="28"/>
        </w:rPr>
        <w:t>Các quy định mới như Quy định chống phá rừng của Liên minh châu Âu (EUDR), các tiêu chuẩn sản xuất nông nghiệp bền vững và các cơ chế chứng nhận carbon đang tạo ra áp lực lớn đối với hệ thống sản xuất nông nghiệp của các quốc gia xuất khẩu.</w:t>
      </w:r>
    </w:p>
    <w:p w14:paraId="705B9A4F">
      <w:pPr>
        <w:spacing w:before="120" w:after="0" w:line="240" w:lineRule="auto"/>
        <w:ind w:firstLine="567"/>
        <w:jc w:val="both"/>
        <w:rPr>
          <w:rFonts w:hint="default" w:ascii="Times New Roman" w:hAnsi="Times New Roman" w:eastAsia="Times New Roman" w:cs="Times New Roman"/>
          <w:sz w:val="28"/>
        </w:rPr>
      </w:pPr>
      <w:r>
        <w:rPr>
          <w:rFonts w:hint="default" w:ascii="Times New Roman" w:hAnsi="Times New Roman" w:eastAsia="Times New Roman" w:cs="Times New Roman"/>
          <w:sz w:val="28"/>
        </w:rPr>
        <w:t>Trong bối cảnh đó, việc tổ chức sản xuất theo chuỗi liên kết có kiểm soát chất lượng, truy xuất nguồn gốc và quản trị dữ liệu là điều kiện tiên quyết để nông sản Việt Nam duy trì và mở rộng thị trường xuất khẩu.</w:t>
      </w:r>
    </w:p>
    <w:p w14:paraId="68381F83">
      <w:pPr>
        <w:spacing w:before="120" w:after="0" w:line="240" w:lineRule="auto"/>
        <w:ind w:firstLine="567"/>
        <w:jc w:val="both"/>
        <w:rPr>
          <w:rFonts w:hint="default" w:ascii="Times New Roman" w:hAnsi="Times New Roman" w:eastAsia="Times New Roman" w:cs="Times New Roman"/>
          <w:i/>
          <w:iCs/>
          <w:sz w:val="28"/>
        </w:rPr>
      </w:pPr>
      <w:r>
        <w:rPr>
          <w:rFonts w:hint="default" w:ascii="Times New Roman" w:hAnsi="Times New Roman" w:eastAsia="Times New Roman" w:cs="Times New Roman"/>
          <w:i/>
          <w:iCs/>
          <w:sz w:val="28"/>
        </w:rPr>
        <w:t>(</w:t>
      </w:r>
      <w:r>
        <w:rPr>
          <w:rFonts w:hint="default" w:ascii="Times New Roman" w:hAnsi="Times New Roman" w:eastAsia="Times New Roman" w:cs="Times New Roman"/>
          <w:i/>
          <w:iCs/>
          <w:sz w:val="28"/>
          <w:lang w:val="en-US"/>
        </w:rPr>
        <w:t>iii</w:t>
      </w:r>
      <w:r>
        <w:rPr>
          <w:rFonts w:hint="default" w:ascii="Times New Roman" w:hAnsi="Times New Roman" w:eastAsia="Times New Roman" w:cs="Times New Roman"/>
          <w:i/>
          <w:iCs/>
          <w:sz w:val="28"/>
        </w:rPr>
        <w:t>) Xu hướng chuyển đổi xanh và số hóa chuỗi giá trị nông nghiệp</w:t>
      </w:r>
    </w:p>
    <w:p w14:paraId="661B6799">
      <w:pPr>
        <w:spacing w:before="120" w:after="0" w:line="240" w:lineRule="auto"/>
        <w:ind w:firstLine="567"/>
        <w:jc w:val="both"/>
        <w:rPr>
          <w:rFonts w:hint="default" w:ascii="Times New Roman" w:hAnsi="Times New Roman" w:eastAsia="Times New Roman" w:cs="Times New Roman"/>
          <w:sz w:val="28"/>
        </w:rPr>
      </w:pPr>
      <w:r>
        <w:rPr>
          <w:rFonts w:hint="default" w:ascii="Times New Roman" w:hAnsi="Times New Roman" w:eastAsia="Times New Roman" w:cs="Times New Roman"/>
          <w:sz w:val="28"/>
        </w:rPr>
        <w:t>Trên phạm vi toàn cầu, nông nghiệp đang bước vào giai đoạn chuyển đổi mạnh mẽ theo hướng nông nghiệp xanh, nông nghiệp tuần hoàn và nông nghiệp số. Các quốc gia ngày càng chú trọng xây dựng hệ thống dữ liệu nông nghiệp, nền tảng truy xuất nguồn gốc và các công cụ quản trị chuỗi giá trị dựa trên công nghệ số.</w:t>
      </w:r>
    </w:p>
    <w:p w14:paraId="6FE1733D">
      <w:pPr>
        <w:spacing w:before="120" w:after="0" w:line="240" w:lineRule="auto"/>
        <w:ind w:firstLine="567"/>
        <w:jc w:val="both"/>
        <w:rPr>
          <w:rFonts w:hint="default" w:ascii="Times New Roman" w:hAnsi="Times New Roman" w:eastAsia="Times New Roman" w:cs="Times New Roman"/>
          <w:sz w:val="28"/>
        </w:rPr>
      </w:pPr>
      <w:r>
        <w:rPr>
          <w:rFonts w:hint="default" w:ascii="Times New Roman" w:hAnsi="Times New Roman" w:eastAsia="Times New Roman" w:cs="Times New Roman"/>
          <w:sz w:val="28"/>
        </w:rPr>
        <w:t>Tuy nhiên, Nghị định 98 hiện nay chưa tích hợp đầy đủ các yêu cầu mới như:</w:t>
      </w:r>
      <w:r>
        <w:rPr>
          <w:rFonts w:hint="default" w:ascii="Times New Roman" w:hAnsi="Times New Roman" w:eastAsia="Times New Roman" w:cs="Times New Roman"/>
          <w:sz w:val="28"/>
          <w:lang w:val="en-US"/>
        </w:rPr>
        <w:t xml:space="preserve"> </w:t>
      </w:r>
      <w:r>
        <w:rPr>
          <w:rFonts w:hint="default" w:ascii="Times New Roman" w:hAnsi="Times New Roman" w:eastAsia="Times New Roman" w:cs="Times New Roman"/>
          <w:sz w:val="28"/>
        </w:rPr>
        <w:t>chuyển đổi số trong quản trị chuỗi liên kết;</w:t>
      </w:r>
      <w:r>
        <w:rPr>
          <w:rFonts w:hint="default" w:ascii="Times New Roman" w:hAnsi="Times New Roman" w:eastAsia="Times New Roman" w:cs="Times New Roman"/>
          <w:sz w:val="28"/>
          <w:lang w:val="en-US"/>
        </w:rPr>
        <w:t xml:space="preserve"> </w:t>
      </w:r>
      <w:r>
        <w:rPr>
          <w:rFonts w:hint="default" w:ascii="Times New Roman" w:hAnsi="Times New Roman" w:eastAsia="Times New Roman" w:cs="Times New Roman"/>
          <w:sz w:val="28"/>
        </w:rPr>
        <w:t>quản lý dữ liệu vùng nguyên liệu;</w:t>
      </w:r>
      <w:r>
        <w:rPr>
          <w:rFonts w:hint="default" w:ascii="Times New Roman" w:hAnsi="Times New Roman" w:eastAsia="Times New Roman" w:cs="Times New Roman"/>
          <w:sz w:val="28"/>
          <w:lang w:val="en-US"/>
        </w:rPr>
        <w:t xml:space="preserve"> </w:t>
      </w:r>
      <w:r>
        <w:rPr>
          <w:rFonts w:hint="default" w:ascii="Times New Roman" w:hAnsi="Times New Roman" w:eastAsia="Times New Roman" w:cs="Times New Roman"/>
          <w:sz w:val="28"/>
        </w:rPr>
        <w:t>đo đếm phát thải và tín chỉ carbon;</w:t>
      </w:r>
      <w:r>
        <w:rPr>
          <w:rFonts w:hint="default" w:ascii="Times New Roman" w:hAnsi="Times New Roman" w:eastAsia="Times New Roman" w:cs="Times New Roman"/>
          <w:sz w:val="28"/>
          <w:lang w:val="en-US"/>
        </w:rPr>
        <w:t xml:space="preserve"> </w:t>
      </w:r>
      <w:r>
        <w:rPr>
          <w:rFonts w:hint="default" w:ascii="Times New Roman" w:hAnsi="Times New Roman" w:eastAsia="Times New Roman" w:cs="Times New Roman"/>
          <w:sz w:val="28"/>
        </w:rPr>
        <w:t>các cơ chế tài chính xanh trong nông nghiệp.</w:t>
      </w:r>
      <w:r>
        <w:rPr>
          <w:rFonts w:hint="default" w:ascii="Times New Roman" w:hAnsi="Times New Roman" w:eastAsia="Times New Roman" w:cs="Times New Roman"/>
          <w:sz w:val="28"/>
          <w:lang w:val="en-US"/>
        </w:rPr>
        <w:t xml:space="preserve"> </w:t>
      </w:r>
      <w:r>
        <w:rPr>
          <w:rFonts w:hint="default" w:ascii="Times New Roman" w:hAnsi="Times New Roman" w:eastAsia="Times New Roman" w:cs="Times New Roman"/>
          <w:sz w:val="28"/>
        </w:rPr>
        <w:t>Do đó, việc sửa đổi Nghị định là cần thiết để tạo hành lang pháp lý thúc đẩy các chuỗi liên kết nông sản theo hướng xanh hóa, số hóa và hội nhập quốc tế.</w:t>
      </w:r>
    </w:p>
    <w:p w14:paraId="5C132152">
      <w:pPr>
        <w:spacing w:before="120" w:after="0" w:line="240" w:lineRule="auto"/>
        <w:ind w:firstLine="567"/>
        <w:jc w:val="both"/>
        <w:rPr>
          <w:rFonts w:hint="default" w:ascii="Times New Roman" w:hAnsi="Times New Roman" w:eastAsia="Times New Roman" w:cs="Times New Roman"/>
          <w:sz w:val="28"/>
        </w:rPr>
      </w:pPr>
      <w:r>
        <w:rPr>
          <w:rFonts w:hint="default" w:ascii="Times New Roman" w:hAnsi="Times New Roman" w:eastAsia="Times New Roman" w:cs="Times New Roman"/>
          <w:sz w:val="28"/>
        </w:rPr>
        <w:t>Từ bối cảnh trong nước và quốc tế nêu trên có thể thấy rằng, việc tổng kết và sửa đổi Nghị định 98 là yêu cầu khách quan nhằm:</w:t>
      </w:r>
      <w:r>
        <w:rPr>
          <w:rFonts w:hint="default" w:ascii="Times New Roman" w:hAnsi="Times New Roman" w:eastAsia="Times New Roman" w:cs="Times New Roman"/>
          <w:sz w:val="28"/>
          <w:lang w:val="en-US"/>
        </w:rPr>
        <w:t xml:space="preserve"> (i) </w:t>
      </w:r>
      <w:r>
        <w:rPr>
          <w:rFonts w:hint="default" w:ascii="Times New Roman" w:hAnsi="Times New Roman" w:eastAsia="Times New Roman" w:cs="Times New Roman"/>
          <w:sz w:val="28"/>
        </w:rPr>
        <w:t>hoàn thiện thể chế thúc đẩy liên kết chuỗi giá trị nông sản;</w:t>
      </w:r>
      <w:r>
        <w:rPr>
          <w:rFonts w:hint="default" w:ascii="Times New Roman" w:hAnsi="Times New Roman" w:eastAsia="Times New Roman" w:cs="Times New Roman"/>
          <w:sz w:val="28"/>
          <w:lang w:val="en-US"/>
        </w:rPr>
        <w:t xml:space="preserve"> (ii) </w:t>
      </w:r>
      <w:r>
        <w:rPr>
          <w:rFonts w:hint="default" w:ascii="Times New Roman" w:hAnsi="Times New Roman" w:eastAsia="Times New Roman" w:cs="Times New Roman"/>
          <w:sz w:val="28"/>
        </w:rPr>
        <w:t>phát triển các vùng nguyên liệu nông sản đạt chuẩn, quy mô lớn;</w:t>
      </w:r>
      <w:r>
        <w:rPr>
          <w:rFonts w:hint="default" w:ascii="Times New Roman" w:hAnsi="Times New Roman" w:eastAsia="Times New Roman" w:cs="Times New Roman"/>
          <w:sz w:val="28"/>
          <w:lang w:val="en-US"/>
        </w:rPr>
        <w:t xml:space="preserve"> (iii0 </w:t>
      </w:r>
      <w:r>
        <w:rPr>
          <w:rFonts w:hint="default" w:ascii="Times New Roman" w:hAnsi="Times New Roman" w:eastAsia="Times New Roman" w:cs="Times New Roman"/>
          <w:sz w:val="28"/>
        </w:rPr>
        <w:t>nâng cao vai trò của hợp tác xã trong tổ chức sản xuất;</w:t>
      </w:r>
      <w:r>
        <w:rPr>
          <w:rFonts w:hint="default" w:ascii="Times New Roman" w:hAnsi="Times New Roman" w:eastAsia="Times New Roman" w:cs="Times New Roman"/>
          <w:sz w:val="28"/>
          <w:lang w:val="en-US"/>
        </w:rPr>
        <w:t xml:space="preserve"> (iv) </w:t>
      </w:r>
      <w:r>
        <w:rPr>
          <w:rFonts w:hint="default" w:ascii="Times New Roman" w:hAnsi="Times New Roman" w:eastAsia="Times New Roman" w:cs="Times New Roman"/>
          <w:sz w:val="28"/>
        </w:rPr>
        <w:t>tích hợp các chính sách mới về chuyển đổi xanh, chuyển đổi số và quản trị chuỗi;</w:t>
      </w:r>
      <w:r>
        <w:rPr>
          <w:rFonts w:hint="default" w:ascii="Times New Roman" w:hAnsi="Times New Roman" w:eastAsia="Times New Roman" w:cs="Times New Roman"/>
          <w:sz w:val="28"/>
          <w:lang w:val="en-US"/>
        </w:rPr>
        <w:t xml:space="preserve"> (v) </w:t>
      </w:r>
      <w:r>
        <w:rPr>
          <w:rFonts w:hint="default" w:ascii="Times New Roman" w:hAnsi="Times New Roman" w:eastAsia="Times New Roman" w:cs="Times New Roman"/>
          <w:sz w:val="28"/>
        </w:rPr>
        <w:t>đáp ứng yêu cầu ngày càng cao của thị trường quốc tế.</w:t>
      </w:r>
      <w:r>
        <w:rPr>
          <w:rFonts w:hint="default" w:ascii="Times New Roman" w:hAnsi="Times New Roman" w:eastAsia="Times New Roman" w:cs="Times New Roman"/>
          <w:sz w:val="28"/>
          <w:lang w:val="en-US"/>
        </w:rPr>
        <w:t xml:space="preserve"> </w:t>
      </w:r>
      <w:r>
        <w:rPr>
          <w:rFonts w:hint="default" w:ascii="Times New Roman" w:hAnsi="Times New Roman" w:eastAsia="Times New Roman" w:cs="Times New Roman"/>
          <w:sz w:val="28"/>
        </w:rPr>
        <w:t>Việc sửa đổi Nghị định 98 không chỉ nhằm khắc phục những hạn chế trong quá trình triển khai chính sách thời gian qua mà còn nhằm xây dựng một khung chính sách mới thúc đẩy phát triển chuỗi giá trị nông sản hiện đại, bền vững và hội nhập sâu với kinh tế toàn cầu.</w:t>
      </w:r>
    </w:p>
    <w:p w14:paraId="5BC12C65">
      <w:pPr>
        <w:spacing w:before="120" w:after="0" w:line="240" w:lineRule="auto"/>
        <w:ind w:firstLine="567"/>
        <w:jc w:val="both"/>
        <w:rPr>
          <w:rFonts w:hint="default" w:ascii="Times New Roman" w:hAnsi="Times New Roman" w:eastAsia="Times New Roman" w:cs="Times New Roman"/>
          <w:b/>
          <w:bCs/>
          <w:sz w:val="28"/>
          <w:lang w:val="en-US"/>
        </w:rPr>
      </w:pPr>
      <w:r>
        <w:rPr>
          <w:rFonts w:hint="default" w:ascii="Times New Roman" w:hAnsi="Times New Roman" w:eastAsia="Times New Roman" w:cs="Times New Roman"/>
          <w:b/>
          <w:bCs/>
          <w:sz w:val="28"/>
          <w:lang w:val="en-US"/>
        </w:rPr>
        <w:t>2. Quá trình thực hiện tổng kết</w:t>
      </w:r>
    </w:p>
    <w:p w14:paraId="5F2CA0EE">
      <w:pPr>
        <w:spacing w:before="120" w:after="0" w:line="240" w:lineRule="auto"/>
        <w:ind w:firstLine="567"/>
        <w:jc w:val="both"/>
        <w:rPr>
          <w:rFonts w:hint="default" w:ascii="Times New Roman" w:hAnsi="Times New Roman" w:eastAsia="Times New Roman" w:cs="Times New Roman"/>
          <w:b/>
          <w:bCs/>
          <w:i/>
          <w:iCs/>
          <w:sz w:val="28"/>
        </w:rPr>
      </w:pPr>
      <w:r>
        <w:rPr>
          <w:rFonts w:hint="default" w:ascii="Times New Roman" w:hAnsi="Times New Roman" w:eastAsia="Times New Roman" w:cs="Times New Roman"/>
          <w:b/>
          <w:bCs/>
          <w:i/>
          <w:iCs/>
          <w:sz w:val="28"/>
          <w:lang w:val="en-US"/>
        </w:rPr>
        <w:t>2.</w:t>
      </w:r>
      <w:r>
        <w:rPr>
          <w:rFonts w:hint="default" w:ascii="Times New Roman" w:hAnsi="Times New Roman" w:eastAsia="Times New Roman" w:cs="Times New Roman"/>
          <w:b/>
          <w:bCs/>
          <w:i/>
          <w:iCs/>
          <w:sz w:val="28"/>
        </w:rPr>
        <w:t>1. Tổ chức rà soát, thu thập thông tin từ các địa phương và các chủ thể tham gia liên kết</w:t>
      </w:r>
    </w:p>
    <w:p w14:paraId="4D41808C">
      <w:pPr>
        <w:spacing w:before="120" w:after="0" w:line="240" w:lineRule="auto"/>
        <w:ind w:firstLine="567"/>
        <w:jc w:val="both"/>
        <w:rPr>
          <w:rFonts w:hint="default" w:ascii="Times New Roman" w:hAnsi="Times New Roman" w:eastAsia="Times New Roman" w:cs="Times New Roman"/>
          <w:sz w:val="28"/>
        </w:rPr>
      </w:pPr>
      <w:r>
        <w:rPr>
          <w:rFonts w:hint="default" w:ascii="Times New Roman" w:hAnsi="Times New Roman" w:eastAsia="Times New Roman" w:cs="Times New Roman"/>
          <w:sz w:val="28"/>
        </w:rPr>
        <w:t>Ngay từ đầu năm 2025, Bộ Nông nghiệp và Môi trường đã giao Cục Kinh tế hợp tác và Phát triển nông thôn chủ trì, phối hợp với các đơn vị liên quan tổ chức rà soát tình hình triển khai Nghị định số 98/2018/NĐ-CP trên phạm vi toàn quốc.</w:t>
      </w:r>
    </w:p>
    <w:p w14:paraId="75112AAA">
      <w:pPr>
        <w:spacing w:before="120" w:after="0" w:line="240" w:lineRule="auto"/>
        <w:ind w:firstLine="567"/>
        <w:jc w:val="both"/>
        <w:rPr>
          <w:rFonts w:hint="default" w:ascii="Times New Roman" w:hAnsi="Times New Roman" w:eastAsia="Times New Roman" w:cs="Times New Roman"/>
          <w:sz w:val="28"/>
        </w:rPr>
      </w:pPr>
      <w:r>
        <w:rPr>
          <w:rFonts w:hint="default" w:ascii="Times New Roman" w:hAnsi="Times New Roman" w:eastAsia="Times New Roman" w:cs="Times New Roman"/>
          <w:sz w:val="28"/>
        </w:rPr>
        <w:t>Theo đó, Bộ đã có văn bản gửi các tỉnh, thành phố trực thuộc Trung ương yêu cầu báo cáo đánh giá kết quả thực hiện Nghị định số 98 tại địa phương, tập trung vào các nội dung chính như:</w:t>
      </w:r>
      <w:r>
        <w:rPr>
          <w:rFonts w:hint="default" w:ascii="Times New Roman" w:hAnsi="Times New Roman" w:eastAsia="Times New Roman" w:cs="Times New Roman"/>
          <w:sz w:val="28"/>
          <w:lang w:val="en-US"/>
        </w:rPr>
        <w:t xml:space="preserve"> (i) </w:t>
      </w:r>
      <w:r>
        <w:rPr>
          <w:rFonts w:hint="default" w:ascii="Times New Roman" w:hAnsi="Times New Roman" w:eastAsia="Times New Roman" w:cs="Times New Roman"/>
          <w:sz w:val="28"/>
        </w:rPr>
        <w:t>kết quả triển khai các dự án và kế hoạch liên kết;</w:t>
      </w:r>
      <w:r>
        <w:rPr>
          <w:rFonts w:hint="default" w:ascii="Times New Roman" w:hAnsi="Times New Roman" w:eastAsia="Times New Roman" w:cs="Times New Roman"/>
          <w:sz w:val="28"/>
          <w:lang w:val="en-US"/>
        </w:rPr>
        <w:t xml:space="preserve"> (ii) </w:t>
      </w:r>
      <w:r>
        <w:rPr>
          <w:rFonts w:hint="default" w:ascii="Times New Roman" w:hAnsi="Times New Roman" w:eastAsia="Times New Roman" w:cs="Times New Roman"/>
          <w:sz w:val="28"/>
        </w:rPr>
        <w:t>tình hình huy động nguồn lực hỗ trợ từ ngân sách và xã hội hóa;</w:t>
      </w:r>
      <w:r>
        <w:rPr>
          <w:rFonts w:hint="default" w:ascii="Times New Roman" w:hAnsi="Times New Roman" w:eastAsia="Times New Roman" w:cs="Times New Roman"/>
          <w:sz w:val="28"/>
          <w:lang w:val="en-US"/>
        </w:rPr>
        <w:t xml:space="preserve"> (iii) </w:t>
      </w:r>
      <w:r>
        <w:rPr>
          <w:rFonts w:hint="default" w:ascii="Times New Roman" w:hAnsi="Times New Roman" w:eastAsia="Times New Roman" w:cs="Times New Roman"/>
          <w:sz w:val="28"/>
        </w:rPr>
        <w:t>hiệu quả của các mô hình liên kết trong các ngành hàng chủ lực;</w:t>
      </w:r>
      <w:r>
        <w:rPr>
          <w:rFonts w:hint="default" w:ascii="Times New Roman" w:hAnsi="Times New Roman" w:eastAsia="Times New Roman" w:cs="Times New Roman"/>
          <w:sz w:val="28"/>
          <w:lang w:val="en-US"/>
        </w:rPr>
        <w:t xml:space="preserve"> (iv) </w:t>
      </w:r>
      <w:r>
        <w:rPr>
          <w:rFonts w:hint="default" w:ascii="Times New Roman" w:hAnsi="Times New Roman" w:eastAsia="Times New Roman" w:cs="Times New Roman"/>
          <w:sz w:val="28"/>
        </w:rPr>
        <w:t>những khó khăn, vướng mắc trong quá trình thực hiện;</w:t>
      </w:r>
      <w:r>
        <w:rPr>
          <w:rFonts w:hint="default" w:ascii="Times New Roman" w:hAnsi="Times New Roman" w:eastAsia="Times New Roman" w:cs="Times New Roman"/>
          <w:sz w:val="28"/>
          <w:lang w:val="en-US"/>
        </w:rPr>
        <w:t xml:space="preserve"> (v) </w:t>
      </w:r>
      <w:r>
        <w:rPr>
          <w:rFonts w:hint="default" w:ascii="Times New Roman" w:hAnsi="Times New Roman" w:eastAsia="Times New Roman" w:cs="Times New Roman"/>
          <w:sz w:val="28"/>
        </w:rPr>
        <w:t>các kiến nghị sửa đổi, bổ sung chính sách.</w:t>
      </w:r>
    </w:p>
    <w:p w14:paraId="2D770FDD">
      <w:pPr>
        <w:spacing w:before="120" w:after="0" w:line="240" w:lineRule="auto"/>
        <w:ind w:firstLine="567"/>
        <w:jc w:val="both"/>
        <w:rPr>
          <w:rFonts w:hint="default" w:ascii="Times New Roman" w:hAnsi="Times New Roman" w:eastAsia="Times New Roman" w:cs="Times New Roman"/>
          <w:sz w:val="28"/>
        </w:rPr>
      </w:pPr>
      <w:r>
        <w:rPr>
          <w:rFonts w:hint="default" w:ascii="Times New Roman" w:hAnsi="Times New Roman" w:eastAsia="Times New Roman" w:cs="Times New Roman"/>
          <w:sz w:val="28"/>
        </w:rPr>
        <w:t xml:space="preserve">Trên cơ sở tổng hợp báo cáo của các địa phương, Bộ Nông nghiệp và Môi trường đã tiến hành phân tích, đánh giá thực trạng triển khai chính sách trên phạm vi cả nước, bao gồm các khía cạnh về tổ chức sản xuất, huy động nguồn lực, hiệu quả kinh tế </w:t>
      </w:r>
      <w:r>
        <w:rPr>
          <w:rFonts w:hint="default" w:ascii="Times New Roman" w:hAnsi="Times New Roman" w:eastAsia="Times New Roman" w:cs="Times New Roman"/>
          <w:sz w:val="28"/>
          <w:lang w:val="en-US"/>
        </w:rPr>
        <w:t>-</w:t>
      </w:r>
      <w:r>
        <w:rPr>
          <w:rFonts w:hint="default" w:ascii="Times New Roman" w:hAnsi="Times New Roman" w:eastAsia="Times New Roman" w:cs="Times New Roman"/>
          <w:sz w:val="28"/>
        </w:rPr>
        <w:t xml:space="preserve"> xã hội và những tồn tại, hạn chế trong quá trình thực hiện.</w:t>
      </w:r>
    </w:p>
    <w:p w14:paraId="48DFD6B3">
      <w:pPr>
        <w:spacing w:before="120" w:after="0" w:line="240" w:lineRule="auto"/>
        <w:ind w:firstLine="567"/>
        <w:jc w:val="both"/>
        <w:rPr>
          <w:rFonts w:hint="default" w:ascii="Times New Roman" w:hAnsi="Times New Roman" w:eastAsia="Times New Roman" w:cs="Times New Roman"/>
          <w:sz w:val="28"/>
        </w:rPr>
      </w:pPr>
      <w:r>
        <w:rPr>
          <w:rFonts w:hint="default" w:ascii="Times New Roman" w:hAnsi="Times New Roman" w:eastAsia="Times New Roman" w:cs="Times New Roman"/>
          <w:sz w:val="28"/>
        </w:rPr>
        <w:t>Bên cạnh đó, Bộ cũng tổ chức khảo sát, làm việc trực tiếp với một số địa phương, doanh nghiệp và hợp tác xã tiêu biểu để thu thập thông tin thực tiễn về hiệu quả và những khó khăn trong triển khai các dự án liên kết chuỗi giá trị nông sản.</w:t>
      </w:r>
    </w:p>
    <w:p w14:paraId="6705547C">
      <w:pPr>
        <w:spacing w:before="120" w:after="0" w:line="240" w:lineRule="auto"/>
        <w:ind w:firstLine="567"/>
        <w:jc w:val="both"/>
        <w:rPr>
          <w:rFonts w:hint="default" w:ascii="Times New Roman" w:hAnsi="Times New Roman" w:eastAsia="Times New Roman" w:cs="Times New Roman"/>
          <w:b/>
          <w:bCs/>
          <w:i/>
          <w:iCs/>
          <w:sz w:val="28"/>
          <w:lang w:val="en-US"/>
        </w:rPr>
      </w:pPr>
      <w:r>
        <w:rPr>
          <w:rFonts w:hint="default" w:ascii="Times New Roman" w:hAnsi="Times New Roman" w:eastAsia="Times New Roman" w:cs="Times New Roman"/>
          <w:b/>
          <w:bCs/>
          <w:i/>
          <w:iCs/>
          <w:sz w:val="28"/>
          <w:lang w:val="en-US"/>
        </w:rPr>
        <w:t>2.2. Phối hợp với các cơ quan nghiên cứu, tổ chức quốc tế và chuyên gia để đánh giá chính sách</w:t>
      </w:r>
    </w:p>
    <w:p w14:paraId="328DE359">
      <w:pPr>
        <w:spacing w:before="120" w:after="0" w:line="240" w:lineRule="auto"/>
        <w:ind w:firstLine="567"/>
        <w:jc w:val="both"/>
        <w:rPr>
          <w:rFonts w:hint="default" w:ascii="Times New Roman" w:hAnsi="Times New Roman" w:eastAsia="Times New Roman" w:cs="Times New Roman"/>
          <w:sz w:val="28"/>
        </w:rPr>
      </w:pPr>
      <w:r>
        <w:rPr>
          <w:rFonts w:hint="default" w:ascii="Times New Roman" w:hAnsi="Times New Roman" w:eastAsia="Times New Roman" w:cs="Times New Roman"/>
          <w:sz w:val="28"/>
        </w:rPr>
        <w:t>Để bảo đảm việc tổng kết, đánh giá chính sách được thực hiện khách quan, khoa học và có cơ sở thực tiễn, Bộ Nông nghiệp và Môi trường đã phối hợp với một số cơ quan nghiên cứu, viện nghiên cứu và trường đại học có chuyên môn trong lĩnh vực phát triển nông nghiệp và chính sách công tham gia đánh giá việc thực hiện Nghị định số 98/2018/NĐ-CP.</w:t>
      </w:r>
    </w:p>
    <w:p w14:paraId="2276C419">
      <w:pPr>
        <w:spacing w:before="120" w:after="0" w:line="240" w:lineRule="auto"/>
        <w:ind w:firstLine="567"/>
        <w:jc w:val="both"/>
        <w:rPr>
          <w:rFonts w:hint="default" w:ascii="Times New Roman" w:hAnsi="Times New Roman" w:eastAsia="Times New Roman" w:cs="Times New Roman"/>
          <w:sz w:val="28"/>
        </w:rPr>
      </w:pPr>
      <w:r>
        <w:rPr>
          <w:rFonts w:hint="default" w:ascii="Times New Roman" w:hAnsi="Times New Roman" w:eastAsia="Times New Roman" w:cs="Times New Roman"/>
          <w:sz w:val="28"/>
        </w:rPr>
        <w:t>Các nội dung nghiên cứu tập trung vào:</w:t>
      </w:r>
      <w:r>
        <w:rPr>
          <w:rFonts w:hint="default" w:ascii="Times New Roman" w:hAnsi="Times New Roman" w:eastAsia="Times New Roman" w:cs="Times New Roman"/>
          <w:sz w:val="28"/>
          <w:lang w:val="en-US"/>
        </w:rPr>
        <w:t xml:space="preserve"> (i) </w:t>
      </w:r>
      <w:r>
        <w:rPr>
          <w:rFonts w:hint="default" w:ascii="Times New Roman" w:hAnsi="Times New Roman" w:eastAsia="Times New Roman" w:cs="Times New Roman"/>
          <w:sz w:val="28"/>
        </w:rPr>
        <w:t>đánh giá tác động của chính sách đối với tổ chức sản xuất nông nghiệp;</w:t>
      </w:r>
      <w:r>
        <w:rPr>
          <w:rFonts w:hint="default" w:ascii="Times New Roman" w:hAnsi="Times New Roman" w:eastAsia="Times New Roman" w:cs="Times New Roman"/>
          <w:sz w:val="28"/>
          <w:lang w:val="en-US"/>
        </w:rPr>
        <w:t xml:space="preserve"> (ii) </w:t>
      </w:r>
      <w:r>
        <w:rPr>
          <w:rFonts w:hint="default" w:ascii="Times New Roman" w:hAnsi="Times New Roman" w:eastAsia="Times New Roman" w:cs="Times New Roman"/>
          <w:sz w:val="28"/>
        </w:rPr>
        <w:t>mức độ tham gia của doanh nghiệp, hợp tác xã và nông dân trong các chuỗi liên kết;</w:t>
      </w:r>
      <w:r>
        <w:rPr>
          <w:rFonts w:hint="default" w:ascii="Times New Roman" w:hAnsi="Times New Roman" w:eastAsia="Times New Roman" w:cs="Times New Roman"/>
          <w:sz w:val="28"/>
          <w:lang w:val="en-US"/>
        </w:rPr>
        <w:t xml:space="preserve"> (iii) </w:t>
      </w:r>
      <w:r>
        <w:rPr>
          <w:rFonts w:hint="default" w:ascii="Times New Roman" w:hAnsi="Times New Roman" w:eastAsia="Times New Roman" w:cs="Times New Roman"/>
          <w:sz w:val="28"/>
        </w:rPr>
        <w:t xml:space="preserve">hiệu quả kinh tế </w:t>
      </w:r>
      <w:r>
        <w:rPr>
          <w:rFonts w:hint="default" w:ascii="Times New Roman" w:hAnsi="Times New Roman" w:eastAsia="Times New Roman" w:cs="Times New Roman"/>
          <w:sz w:val="28"/>
          <w:lang w:val="en-US"/>
        </w:rPr>
        <w:t>-</w:t>
      </w:r>
      <w:r>
        <w:rPr>
          <w:rFonts w:hint="default" w:ascii="Times New Roman" w:hAnsi="Times New Roman" w:eastAsia="Times New Roman" w:cs="Times New Roman"/>
          <w:sz w:val="28"/>
        </w:rPr>
        <w:t xml:space="preserve"> xã hội của các mô hình liên kết;</w:t>
      </w:r>
      <w:r>
        <w:rPr>
          <w:rFonts w:hint="default" w:ascii="Times New Roman" w:hAnsi="Times New Roman" w:eastAsia="Times New Roman" w:cs="Times New Roman"/>
          <w:sz w:val="28"/>
          <w:lang w:val="en-US"/>
        </w:rPr>
        <w:t xml:space="preserve"> (iv) </w:t>
      </w:r>
      <w:r>
        <w:rPr>
          <w:rFonts w:hint="default" w:ascii="Times New Roman" w:hAnsi="Times New Roman" w:eastAsia="Times New Roman" w:cs="Times New Roman"/>
          <w:sz w:val="28"/>
        </w:rPr>
        <w:t>mức độ phù hợp của các cơ chế hỗ trợ hiện hành;</w:t>
      </w:r>
      <w:r>
        <w:rPr>
          <w:rFonts w:hint="default" w:ascii="Times New Roman" w:hAnsi="Times New Roman" w:eastAsia="Times New Roman" w:cs="Times New Roman"/>
          <w:sz w:val="28"/>
          <w:lang w:val="en-US"/>
        </w:rPr>
        <w:t xml:space="preserve"> (v) </w:t>
      </w:r>
      <w:r>
        <w:rPr>
          <w:rFonts w:hint="default" w:ascii="Times New Roman" w:hAnsi="Times New Roman" w:eastAsia="Times New Roman" w:cs="Times New Roman"/>
          <w:sz w:val="28"/>
        </w:rPr>
        <w:t>kinh nghiệm quốc tế về phát triển liên kết chuỗi giá trị nông sản.</w:t>
      </w:r>
    </w:p>
    <w:p w14:paraId="19BCFE75">
      <w:pPr>
        <w:spacing w:before="120" w:after="0" w:line="240" w:lineRule="auto"/>
        <w:ind w:firstLine="567"/>
        <w:jc w:val="both"/>
        <w:rPr>
          <w:rFonts w:hint="default" w:ascii="Times New Roman" w:hAnsi="Times New Roman" w:eastAsia="Times New Roman" w:cs="Times New Roman"/>
          <w:sz w:val="28"/>
        </w:rPr>
      </w:pPr>
      <w:r>
        <w:rPr>
          <w:rFonts w:hint="default" w:ascii="Times New Roman" w:hAnsi="Times New Roman" w:eastAsia="Times New Roman" w:cs="Times New Roman"/>
          <w:sz w:val="28"/>
        </w:rPr>
        <w:t>Kết quả nghiên cứu cho thấy Nghị định số 98/2018/NĐ-CP đã tạo ra khuôn khổ chính sách quan trọng thúc đẩy liên kết chuỗi giá trị trong nông nghiệp; tuy nhiên, một số quy định của Nghị định đã bộc lộ những hạn chế trong bối cảnh phát triển mới của ngành nông nghiệp, đặc biệt liên quan đến phát triển vùng nguyên liệu, chuyển đổi số, tín dụng và cơ chế hợp đồng liên kết.</w:t>
      </w:r>
    </w:p>
    <w:p w14:paraId="7FFFBED8">
      <w:pPr>
        <w:spacing w:before="120" w:after="0" w:line="240" w:lineRule="auto"/>
        <w:ind w:firstLine="567"/>
        <w:jc w:val="both"/>
        <w:rPr>
          <w:rFonts w:hint="default" w:ascii="Times New Roman" w:hAnsi="Times New Roman" w:eastAsia="Times New Roman" w:cs="Times New Roman"/>
          <w:b/>
          <w:bCs/>
          <w:i/>
          <w:iCs/>
          <w:sz w:val="28"/>
          <w:lang w:val="en-US"/>
        </w:rPr>
      </w:pPr>
      <w:r>
        <w:rPr>
          <w:rFonts w:hint="default" w:ascii="Times New Roman" w:hAnsi="Times New Roman" w:eastAsia="Times New Roman" w:cs="Times New Roman"/>
          <w:b/>
          <w:bCs/>
          <w:i/>
          <w:iCs/>
          <w:sz w:val="28"/>
          <w:lang w:val="en-US"/>
        </w:rPr>
        <w:t>2.3. Tổ chức Hội nghị sơ kết 06 năm thực hiện Nghị định</w:t>
      </w:r>
    </w:p>
    <w:p w14:paraId="790ED3A1">
      <w:pPr>
        <w:spacing w:before="120" w:after="0" w:line="240" w:lineRule="auto"/>
        <w:ind w:firstLine="567"/>
        <w:jc w:val="both"/>
        <w:rPr>
          <w:rFonts w:hint="default" w:ascii="Times New Roman" w:hAnsi="Times New Roman" w:eastAsia="Times New Roman" w:cs="Times New Roman"/>
          <w:sz w:val="28"/>
        </w:rPr>
      </w:pPr>
      <w:r>
        <w:rPr>
          <w:rFonts w:hint="default" w:ascii="Times New Roman" w:hAnsi="Times New Roman" w:eastAsia="Times New Roman" w:cs="Times New Roman"/>
          <w:sz w:val="28"/>
        </w:rPr>
        <w:t>Ngày 11 tháng 11 năm 2025, Bộ Nông nghiệp và Môi trường đã tổ chức Hội nghị sơ kết 06 năm thực hiện Nghị định số 98/2018/NĐ-CP tại Hà Nội dưới sự chủ trì của Thứ trưởng Bộ Nông nghiệp và Môi trường.</w:t>
      </w:r>
    </w:p>
    <w:p w14:paraId="34E40635">
      <w:pPr>
        <w:spacing w:before="120" w:after="0" w:line="240" w:lineRule="auto"/>
        <w:ind w:firstLine="567"/>
        <w:jc w:val="both"/>
        <w:rPr>
          <w:rFonts w:hint="default" w:ascii="Times New Roman" w:hAnsi="Times New Roman" w:eastAsia="Times New Roman" w:cs="Times New Roman"/>
          <w:sz w:val="28"/>
        </w:rPr>
      </w:pPr>
      <w:r>
        <w:rPr>
          <w:rFonts w:hint="default" w:ascii="Times New Roman" w:hAnsi="Times New Roman" w:eastAsia="Times New Roman" w:cs="Times New Roman"/>
          <w:sz w:val="28"/>
        </w:rPr>
        <w:t>Hội nghị có sự tham gia của hơn 200 đại biểu, bao gồm:</w:t>
      </w:r>
      <w:r>
        <w:rPr>
          <w:rFonts w:hint="default" w:ascii="Times New Roman" w:hAnsi="Times New Roman" w:eastAsia="Times New Roman" w:cs="Times New Roman"/>
          <w:sz w:val="28"/>
          <w:lang w:val="en-US"/>
        </w:rPr>
        <w:t xml:space="preserve"> </w:t>
      </w:r>
      <w:r>
        <w:rPr>
          <w:rFonts w:hint="default" w:ascii="Times New Roman" w:hAnsi="Times New Roman" w:eastAsia="Times New Roman" w:cs="Times New Roman"/>
          <w:sz w:val="28"/>
        </w:rPr>
        <w:t>đại diện các Bộ, ngành Trung ương;</w:t>
      </w:r>
      <w:r>
        <w:rPr>
          <w:rFonts w:hint="default" w:ascii="Times New Roman" w:hAnsi="Times New Roman" w:eastAsia="Times New Roman" w:cs="Times New Roman"/>
          <w:sz w:val="28"/>
          <w:lang w:val="en-US"/>
        </w:rPr>
        <w:t xml:space="preserve"> </w:t>
      </w:r>
      <w:r>
        <w:rPr>
          <w:rFonts w:hint="default" w:ascii="Times New Roman" w:hAnsi="Times New Roman" w:eastAsia="Times New Roman" w:cs="Times New Roman"/>
          <w:sz w:val="28"/>
        </w:rPr>
        <w:t>lãnh đạo và cơ quan chuyên môn của 34 tỉnh, thành phố;</w:t>
      </w:r>
      <w:r>
        <w:rPr>
          <w:rFonts w:hint="default" w:ascii="Times New Roman" w:hAnsi="Times New Roman" w:eastAsia="Times New Roman" w:cs="Times New Roman"/>
          <w:sz w:val="28"/>
          <w:lang w:val="en-US"/>
        </w:rPr>
        <w:t xml:space="preserve"> </w:t>
      </w:r>
      <w:r>
        <w:rPr>
          <w:rFonts w:hint="default" w:ascii="Times New Roman" w:hAnsi="Times New Roman" w:eastAsia="Times New Roman" w:cs="Times New Roman"/>
          <w:sz w:val="28"/>
        </w:rPr>
        <w:t>Liên minh Hợp tác xã Việt Nam;</w:t>
      </w:r>
      <w:r>
        <w:rPr>
          <w:rFonts w:hint="default" w:ascii="Times New Roman" w:hAnsi="Times New Roman" w:eastAsia="Times New Roman" w:cs="Times New Roman"/>
          <w:sz w:val="28"/>
          <w:lang w:val="en-US"/>
        </w:rPr>
        <w:t xml:space="preserve"> </w:t>
      </w:r>
      <w:r>
        <w:rPr>
          <w:rFonts w:hint="default" w:ascii="Times New Roman" w:hAnsi="Times New Roman" w:eastAsia="Times New Roman" w:cs="Times New Roman"/>
          <w:sz w:val="28"/>
        </w:rPr>
        <w:t>các tổ chức quốc tế;</w:t>
      </w:r>
      <w:r>
        <w:rPr>
          <w:rFonts w:hint="default" w:ascii="Times New Roman" w:hAnsi="Times New Roman" w:eastAsia="Times New Roman" w:cs="Times New Roman"/>
          <w:sz w:val="28"/>
          <w:lang w:val="en-US"/>
        </w:rPr>
        <w:t xml:space="preserve"> </w:t>
      </w:r>
      <w:r>
        <w:rPr>
          <w:rFonts w:hint="default" w:ascii="Times New Roman" w:hAnsi="Times New Roman" w:eastAsia="Times New Roman" w:cs="Times New Roman"/>
          <w:sz w:val="28"/>
        </w:rPr>
        <w:t>các doanh nghiệp và hợp tác xã tiêu biểu trong lĩnh vực nông nghiệp</w:t>
      </w:r>
      <w:r>
        <w:rPr>
          <w:rFonts w:hint="default" w:ascii="Times New Roman" w:hAnsi="Times New Roman" w:eastAsia="Times New Roman" w:cs="Times New Roman"/>
          <w:sz w:val="28"/>
          <w:lang w:val="en-US"/>
        </w:rPr>
        <w:t xml:space="preserve">. </w:t>
      </w:r>
      <w:r>
        <w:rPr>
          <w:rFonts w:hint="default" w:ascii="Times New Roman" w:hAnsi="Times New Roman" w:eastAsia="Times New Roman" w:cs="Times New Roman"/>
          <w:sz w:val="28"/>
        </w:rPr>
        <w:t>Hội nghị được tổ chức nhằm:</w:t>
      </w:r>
      <w:r>
        <w:rPr>
          <w:rFonts w:hint="default" w:ascii="Times New Roman" w:hAnsi="Times New Roman" w:eastAsia="Times New Roman" w:cs="Times New Roman"/>
          <w:sz w:val="28"/>
          <w:lang w:val="en-US"/>
        </w:rPr>
        <w:t xml:space="preserve"> </w:t>
      </w:r>
      <w:r>
        <w:rPr>
          <w:rFonts w:hint="default" w:ascii="Times New Roman" w:hAnsi="Times New Roman" w:eastAsia="Times New Roman" w:cs="Times New Roman"/>
          <w:sz w:val="28"/>
        </w:rPr>
        <w:t>đánh giá toàn diện kết quả triển khai Nghị định số 98/2018/NĐ-CP sau 06 năm thực hiện;</w:t>
      </w:r>
      <w:r>
        <w:rPr>
          <w:rFonts w:hint="default" w:ascii="Times New Roman" w:hAnsi="Times New Roman" w:eastAsia="Times New Roman" w:cs="Times New Roman"/>
          <w:sz w:val="28"/>
          <w:lang w:val="en-US"/>
        </w:rPr>
        <w:t xml:space="preserve"> </w:t>
      </w:r>
      <w:r>
        <w:rPr>
          <w:rFonts w:hint="default" w:ascii="Times New Roman" w:hAnsi="Times New Roman" w:eastAsia="Times New Roman" w:cs="Times New Roman"/>
          <w:sz w:val="28"/>
        </w:rPr>
        <w:t>chia sẻ kinh nghiệm từ các mô hình liên kết hiệu quả;</w:t>
      </w:r>
      <w:r>
        <w:rPr>
          <w:rFonts w:hint="default" w:ascii="Times New Roman" w:hAnsi="Times New Roman" w:eastAsia="Times New Roman" w:cs="Times New Roman"/>
          <w:sz w:val="28"/>
          <w:lang w:val="en-US"/>
        </w:rPr>
        <w:t xml:space="preserve"> </w:t>
      </w:r>
      <w:r>
        <w:rPr>
          <w:rFonts w:hint="default" w:ascii="Times New Roman" w:hAnsi="Times New Roman" w:eastAsia="Times New Roman" w:cs="Times New Roman"/>
          <w:sz w:val="28"/>
        </w:rPr>
        <w:t>phân tích những khó khăn, vướng mắc trong quá trình triển khai;</w:t>
      </w:r>
      <w:r>
        <w:rPr>
          <w:rFonts w:hint="default" w:ascii="Times New Roman" w:hAnsi="Times New Roman" w:eastAsia="Times New Roman" w:cs="Times New Roman"/>
          <w:sz w:val="28"/>
          <w:lang w:val="en-US"/>
        </w:rPr>
        <w:t xml:space="preserve"> </w:t>
      </w:r>
      <w:r>
        <w:rPr>
          <w:rFonts w:hint="default" w:ascii="Times New Roman" w:hAnsi="Times New Roman" w:eastAsia="Times New Roman" w:cs="Times New Roman"/>
          <w:sz w:val="28"/>
        </w:rPr>
        <w:t>đề xuất các định hướng sửa đổi, bổ sung chính sách trong giai đoạn tới.</w:t>
      </w:r>
    </w:p>
    <w:p w14:paraId="6F27B208">
      <w:pPr>
        <w:spacing w:before="120" w:after="0" w:line="240" w:lineRule="auto"/>
        <w:ind w:firstLine="567"/>
        <w:jc w:val="both"/>
        <w:rPr>
          <w:rFonts w:hint="default" w:ascii="Times New Roman" w:hAnsi="Times New Roman" w:eastAsia="Times New Roman" w:cs="Times New Roman"/>
          <w:sz w:val="28"/>
        </w:rPr>
      </w:pPr>
      <w:r>
        <w:rPr>
          <w:rFonts w:hint="default" w:ascii="Times New Roman" w:hAnsi="Times New Roman" w:eastAsia="Times New Roman" w:cs="Times New Roman"/>
          <w:sz w:val="28"/>
        </w:rPr>
        <w:t>Kết quả thảo luận tại hội nghị cho thấy Nghị định số 98/2018/NĐ-CP là một chính sách đúng đắn, góp phần thúc đẩy phát triển liên kết chuỗi giá trị nông sản và tạo chuyển biến rõ rệt trong nhận thức của doanh nghiệp, hợp tác xã và nông dân về tổ chức sản xuất theo chuỗi giá trị</w:t>
      </w:r>
      <w:r>
        <w:rPr>
          <w:rFonts w:hint="default" w:ascii="Times New Roman" w:hAnsi="Times New Roman" w:eastAsia="Times New Roman" w:cs="Times New Roman"/>
          <w:sz w:val="28"/>
          <w:lang w:val="en-US"/>
        </w:rPr>
        <w:t xml:space="preserve">. </w:t>
      </w:r>
      <w:r>
        <w:rPr>
          <w:rFonts w:hint="default" w:ascii="Times New Roman" w:hAnsi="Times New Roman" w:eastAsia="Times New Roman" w:cs="Times New Roman"/>
          <w:sz w:val="28"/>
        </w:rPr>
        <w:t>Tuy nhiên, các đại biểu cũng chỉ ra một số tồn tại, hạn chế cần được khắc phục trong quá trình sửa đổi chính sách, như thủ tục thực hiện còn phức tạp, cơ chế hỗ trợ chưa phù hợp với thực tiễn sản xuất nông nghiệp, thiếu các công cụ tài chính và cơ chế bảo đảm thực hiện hợp đồng liên kết.</w:t>
      </w:r>
    </w:p>
    <w:p w14:paraId="23BD3E65">
      <w:pPr>
        <w:spacing w:before="120" w:after="0" w:line="240" w:lineRule="auto"/>
        <w:ind w:firstLine="567"/>
        <w:jc w:val="both"/>
        <w:rPr>
          <w:rFonts w:hint="default" w:ascii="Times New Roman" w:hAnsi="Times New Roman" w:eastAsia="Times New Roman" w:cs="Times New Roman"/>
          <w:b/>
          <w:bCs/>
          <w:i/>
          <w:iCs/>
          <w:sz w:val="28"/>
          <w:lang w:val="en-US"/>
        </w:rPr>
      </w:pPr>
      <w:r>
        <w:rPr>
          <w:rFonts w:hint="default" w:ascii="Times New Roman" w:hAnsi="Times New Roman" w:eastAsia="Times New Roman" w:cs="Times New Roman"/>
          <w:b/>
          <w:bCs/>
          <w:i/>
          <w:iCs/>
          <w:sz w:val="28"/>
          <w:lang w:val="en-US"/>
        </w:rPr>
        <w:t>2.4. Tổng hợp ý kiến của các Bộ, ngành, địa phương, doanh nghiệp và HTX</w:t>
      </w:r>
    </w:p>
    <w:p w14:paraId="0F582A17">
      <w:pPr>
        <w:spacing w:before="120" w:after="0" w:line="240" w:lineRule="auto"/>
        <w:ind w:firstLine="567"/>
        <w:jc w:val="both"/>
        <w:rPr>
          <w:rFonts w:hint="default" w:ascii="Times New Roman" w:hAnsi="Times New Roman" w:eastAsia="Times New Roman" w:cs="Times New Roman"/>
          <w:sz w:val="28"/>
        </w:rPr>
      </w:pPr>
      <w:r>
        <w:rPr>
          <w:rFonts w:hint="default" w:ascii="Times New Roman" w:hAnsi="Times New Roman" w:eastAsia="Times New Roman" w:cs="Times New Roman"/>
          <w:sz w:val="28"/>
        </w:rPr>
        <w:t>Trên cơ sở các báo cáo của địa phương và kết quả thảo luận tại Hội nghị sơ kết, Bộ Nông nghiệp và Môi trường đã tổng hợp ý kiến của các cơ quan quản lý nhà nước, doanh nghiệp, hợp tác xã và các tổ chức liên quan về việc sửa đổi Nghị định số 98/2018/NĐ-CP.</w:t>
      </w:r>
      <w:r>
        <w:rPr>
          <w:rFonts w:hint="default" w:ascii="Times New Roman" w:hAnsi="Times New Roman" w:eastAsia="Times New Roman" w:cs="Times New Roman"/>
          <w:sz w:val="28"/>
          <w:lang w:val="en-US"/>
        </w:rPr>
        <w:t xml:space="preserve"> </w:t>
      </w:r>
      <w:r>
        <w:rPr>
          <w:rFonts w:hint="default" w:ascii="Times New Roman" w:hAnsi="Times New Roman" w:eastAsia="Times New Roman" w:cs="Times New Roman"/>
          <w:sz w:val="28"/>
        </w:rPr>
        <w:t>Các ý kiến tập trung vào một số nhóm vấn đề chính, bao gồm:</w:t>
      </w:r>
      <w:r>
        <w:rPr>
          <w:rFonts w:hint="default" w:ascii="Times New Roman" w:hAnsi="Times New Roman" w:eastAsia="Times New Roman" w:cs="Times New Roman"/>
          <w:sz w:val="28"/>
          <w:lang w:val="en-US"/>
        </w:rPr>
        <w:t xml:space="preserve"> </w:t>
      </w:r>
      <w:r>
        <w:rPr>
          <w:rFonts w:hint="default" w:ascii="Times New Roman" w:hAnsi="Times New Roman" w:eastAsia="Times New Roman" w:cs="Times New Roman"/>
          <w:sz w:val="28"/>
        </w:rPr>
        <w:t>hoàn thiện cơ chế phát triển vùng nguyên liệu nông sản tập trung;</w:t>
      </w:r>
      <w:r>
        <w:rPr>
          <w:rFonts w:hint="default" w:ascii="Times New Roman" w:hAnsi="Times New Roman" w:eastAsia="Times New Roman" w:cs="Times New Roman"/>
          <w:sz w:val="28"/>
          <w:lang w:val="en-US"/>
        </w:rPr>
        <w:t xml:space="preserve"> </w:t>
      </w:r>
      <w:r>
        <w:rPr>
          <w:rFonts w:hint="default" w:ascii="Times New Roman" w:hAnsi="Times New Roman" w:eastAsia="Times New Roman" w:cs="Times New Roman"/>
          <w:sz w:val="28"/>
        </w:rPr>
        <w:t>nâng cao vai trò của hợp tác xã trong tổ chức sản xuất và liên kết chuỗi giá trị;</w:t>
      </w:r>
      <w:r>
        <w:rPr>
          <w:rFonts w:hint="default" w:ascii="Times New Roman" w:hAnsi="Times New Roman" w:eastAsia="Times New Roman" w:cs="Times New Roman"/>
          <w:sz w:val="28"/>
          <w:lang w:val="en-US"/>
        </w:rPr>
        <w:t xml:space="preserve"> </w:t>
      </w:r>
      <w:r>
        <w:rPr>
          <w:rFonts w:hint="default" w:ascii="Times New Roman" w:hAnsi="Times New Roman" w:eastAsia="Times New Roman" w:cs="Times New Roman"/>
          <w:sz w:val="28"/>
        </w:rPr>
        <w:t>cải thiện khả năng tiếp cận tín dụng và các nguồn lực đầu tư cho các dự án liên kết;</w:t>
      </w:r>
      <w:r>
        <w:rPr>
          <w:rFonts w:hint="default" w:ascii="Times New Roman" w:hAnsi="Times New Roman" w:eastAsia="Times New Roman" w:cs="Times New Roman"/>
          <w:sz w:val="28"/>
          <w:lang w:val="en-US"/>
        </w:rPr>
        <w:t xml:space="preserve"> </w:t>
      </w:r>
      <w:r>
        <w:rPr>
          <w:rFonts w:hint="default" w:ascii="Times New Roman" w:hAnsi="Times New Roman" w:eastAsia="Times New Roman" w:cs="Times New Roman"/>
          <w:sz w:val="28"/>
        </w:rPr>
        <w:t>hoàn thiện cơ chế hợp đồng liên kết và chia sẻ rủi ro giữa các chủ thể;</w:t>
      </w:r>
      <w:r>
        <w:rPr>
          <w:rFonts w:hint="default" w:ascii="Times New Roman" w:hAnsi="Times New Roman" w:eastAsia="Times New Roman" w:cs="Times New Roman"/>
          <w:sz w:val="28"/>
          <w:lang w:val="en-US"/>
        </w:rPr>
        <w:t xml:space="preserve"> </w:t>
      </w:r>
      <w:r>
        <w:rPr>
          <w:rFonts w:hint="default" w:ascii="Times New Roman" w:hAnsi="Times New Roman" w:eastAsia="Times New Roman" w:cs="Times New Roman"/>
          <w:sz w:val="28"/>
        </w:rPr>
        <w:t>đơn giản hóa thủ tục hành chính và nâng cao hiệu quả thực thi chính sách;</w:t>
      </w:r>
      <w:r>
        <w:rPr>
          <w:rFonts w:hint="default" w:ascii="Times New Roman" w:hAnsi="Times New Roman" w:eastAsia="Times New Roman" w:cs="Times New Roman"/>
          <w:sz w:val="28"/>
          <w:lang w:val="en-US"/>
        </w:rPr>
        <w:t xml:space="preserve"> </w:t>
      </w:r>
      <w:r>
        <w:rPr>
          <w:rFonts w:hint="default" w:ascii="Times New Roman" w:hAnsi="Times New Roman" w:eastAsia="Times New Roman" w:cs="Times New Roman"/>
          <w:sz w:val="28"/>
        </w:rPr>
        <w:t>tích hợp các yêu cầu mới về chuyển đổi số, truy xuất nguồn gốc và phát triển chuỗi giá trị nông nghiệp xanh.</w:t>
      </w:r>
    </w:p>
    <w:p w14:paraId="24981B02">
      <w:pPr>
        <w:spacing w:before="120" w:after="0" w:line="240" w:lineRule="auto"/>
        <w:ind w:firstLine="567"/>
        <w:jc w:val="both"/>
        <w:rPr>
          <w:rFonts w:hint="default" w:ascii="Times New Roman" w:hAnsi="Times New Roman" w:eastAsia="Times New Roman" w:cs="Times New Roman"/>
          <w:sz w:val="28"/>
        </w:rPr>
      </w:pPr>
      <w:r>
        <w:rPr>
          <w:rFonts w:hint="default" w:ascii="Times New Roman" w:hAnsi="Times New Roman" w:eastAsia="Times New Roman" w:cs="Times New Roman"/>
          <w:sz w:val="28"/>
        </w:rPr>
        <w:t>Những ý kiến này đã được Bộ Nông nghiệp và Môi trường tổng hợp, phân tích và sử dụng làm cơ sở quan trọng cho việc xây dựng đề xuất sửa đổi, bổ sung Nghị định số 98/2018/NĐ-CP.</w:t>
      </w:r>
    </w:p>
    <w:p w14:paraId="7E8FF13C">
      <w:pPr>
        <w:spacing w:before="120" w:after="0" w:line="240" w:lineRule="auto"/>
        <w:ind w:firstLine="567"/>
        <w:jc w:val="both"/>
        <w:rPr>
          <w:rFonts w:hint="default" w:ascii="Times New Roman" w:hAnsi="Times New Roman" w:eastAsia="Times New Roman" w:cs="Times New Roman"/>
          <w:b/>
          <w:bCs/>
          <w:i/>
          <w:iCs/>
          <w:sz w:val="28"/>
          <w:lang w:val="en-US"/>
        </w:rPr>
      </w:pPr>
      <w:r>
        <w:rPr>
          <w:rFonts w:hint="default" w:ascii="Times New Roman" w:hAnsi="Times New Roman" w:eastAsia="Times New Roman" w:cs="Times New Roman"/>
          <w:b/>
          <w:bCs/>
          <w:i/>
          <w:iCs/>
          <w:sz w:val="28"/>
          <w:lang w:val="en-US"/>
        </w:rPr>
        <w:t>2.5. Rà soát chủ trương của Đảng, pháp luật hiện hành và điều ước quốc tế có liên quan</w:t>
      </w:r>
    </w:p>
    <w:p w14:paraId="228D74F0">
      <w:pPr>
        <w:spacing w:before="120" w:after="0" w:line="240" w:lineRule="auto"/>
        <w:ind w:firstLine="567"/>
        <w:jc w:val="both"/>
        <w:rPr>
          <w:rFonts w:hint="default" w:ascii="Times New Roman" w:hAnsi="Times New Roman" w:eastAsia="Times New Roman" w:cs="Times New Roman"/>
          <w:sz w:val="28"/>
          <w:lang w:val="en-US"/>
        </w:rPr>
      </w:pPr>
      <w:r>
        <w:rPr>
          <w:rFonts w:hint="default" w:ascii="Times New Roman" w:hAnsi="Times New Roman" w:eastAsia="Times New Roman" w:cs="Times New Roman"/>
          <w:sz w:val="28"/>
          <w:lang w:val="en-US"/>
        </w:rPr>
        <w:t>Trong quá trình tổng kết, Bộ Nông nghiệp và Môi trường đã tổ chức rà soát các chủ trương, đường lối của Đảng, quy định của pháp luật hiện hành và các điều ước quốc tế có liên quan đến phát triển liên kết chuỗi giá trị nông nghiệp, bao gồm: các nghị quyết của Trung ương về phát triển kinh tế tập thể, cơ cấu lại ngành nông nghiệp, phát triển nông nghiệp sinh thái, nông thôn hiện đại; các luật, nghị định có liên quan đến hợp tác xã, đầu tư, thương mại, đất đai, bảo hiểm nông nghiệp, tiêu chuẩn chất lượng, truy xuất nguồn gốc và chuyển đổi số; đồng thời rà soát các cam kết quốc tế mà Việt Nam là thành viên có liên quan đến hỗ trợ phát triển nông nghiệp và chuỗi giá trị nông sản. Kết quả rà soát cho thấy việc sửa đổi Nghị định số 98/2018/NĐ-CP là cần thiết nhằm bảo đảm tính thống nhất, đồng bộ của hệ thống pháp luật, phù hợp với chủ trương của Đảng và đáp ứng yêu cầu hội nhập quốc tế trong giai đoạn mới.</w:t>
      </w:r>
    </w:p>
    <w:p w14:paraId="4741514C">
      <w:pPr>
        <w:spacing w:before="120" w:after="0" w:line="240" w:lineRule="auto"/>
        <w:ind w:firstLine="567"/>
        <w:jc w:val="both"/>
        <w:rPr>
          <w:rFonts w:hint="default" w:ascii="Times New Roman" w:hAnsi="Times New Roman" w:eastAsia="Times New Roman" w:cs="Times New Roman"/>
          <w:b/>
          <w:bCs/>
          <w:i/>
          <w:iCs/>
          <w:sz w:val="28"/>
          <w:lang w:val="en-US"/>
        </w:rPr>
      </w:pPr>
      <w:r>
        <w:rPr>
          <w:rFonts w:hint="default" w:ascii="Times New Roman" w:hAnsi="Times New Roman" w:eastAsia="Times New Roman" w:cs="Times New Roman"/>
          <w:b/>
          <w:bCs/>
          <w:i/>
          <w:iCs/>
          <w:sz w:val="28"/>
          <w:lang w:val="en-US"/>
        </w:rPr>
        <w:t>2.6. Báo cáo tổng kết và đề xuất sửa đổi chính sách</w:t>
      </w:r>
    </w:p>
    <w:p w14:paraId="02916471">
      <w:pPr>
        <w:spacing w:before="120" w:after="0" w:line="240" w:lineRule="auto"/>
        <w:ind w:firstLine="567"/>
        <w:jc w:val="both"/>
        <w:rPr>
          <w:rFonts w:hint="default" w:ascii="Times New Roman" w:hAnsi="Times New Roman" w:eastAsia="Times New Roman" w:cs="Times New Roman"/>
          <w:sz w:val="28"/>
        </w:rPr>
      </w:pPr>
      <w:r>
        <w:rPr>
          <w:rFonts w:hint="default" w:ascii="Times New Roman" w:hAnsi="Times New Roman" w:eastAsia="Times New Roman" w:cs="Times New Roman"/>
          <w:sz w:val="28"/>
        </w:rPr>
        <w:t>Trên cơ sở kết quả rà soát, khảo sát thực tiễn, nghiên cứu chuyên sâu và ý kiến của các Bộ, ngành, địa phương, doanh nghiệp và hợp tác xã, Bộ Nông nghiệp và Môi trường đã xây dựng Báo cáo tổng kết 06 năm thực hiện Nghị định số 98/2018/NĐ-CP.</w:t>
      </w:r>
      <w:r>
        <w:rPr>
          <w:rFonts w:hint="default" w:ascii="Times New Roman" w:hAnsi="Times New Roman" w:eastAsia="Times New Roman" w:cs="Times New Roman"/>
          <w:sz w:val="28"/>
          <w:lang w:val="en-US"/>
        </w:rPr>
        <w:t xml:space="preserve"> </w:t>
      </w:r>
      <w:r>
        <w:rPr>
          <w:rFonts w:hint="default" w:ascii="Times New Roman" w:hAnsi="Times New Roman" w:eastAsia="Times New Roman" w:cs="Times New Roman"/>
          <w:sz w:val="28"/>
        </w:rPr>
        <w:t>Báo cáo đã đánh giá toàn diện các nội dung:</w:t>
      </w:r>
      <w:r>
        <w:rPr>
          <w:rFonts w:hint="default" w:ascii="Times New Roman" w:hAnsi="Times New Roman" w:eastAsia="Times New Roman" w:cs="Times New Roman"/>
          <w:sz w:val="28"/>
          <w:lang w:val="en-US"/>
        </w:rPr>
        <w:t xml:space="preserve"> </w:t>
      </w:r>
      <w:r>
        <w:rPr>
          <w:rFonts w:hint="default" w:ascii="Times New Roman" w:hAnsi="Times New Roman" w:eastAsia="Times New Roman" w:cs="Times New Roman"/>
          <w:sz w:val="28"/>
        </w:rPr>
        <w:t>kết quả đạt được trong quá trình triển khai chính sách;</w:t>
      </w:r>
      <w:r>
        <w:rPr>
          <w:rFonts w:hint="default" w:ascii="Times New Roman" w:hAnsi="Times New Roman" w:eastAsia="Times New Roman" w:cs="Times New Roman"/>
          <w:sz w:val="28"/>
          <w:lang w:val="en-US"/>
        </w:rPr>
        <w:t xml:space="preserve"> </w:t>
      </w:r>
      <w:r>
        <w:rPr>
          <w:rFonts w:hint="default" w:ascii="Times New Roman" w:hAnsi="Times New Roman" w:eastAsia="Times New Roman" w:cs="Times New Roman"/>
          <w:sz w:val="28"/>
        </w:rPr>
        <w:t>những hạn chế, bất cập và nguyên nhân;</w:t>
      </w:r>
      <w:r>
        <w:rPr>
          <w:rFonts w:hint="default" w:ascii="Times New Roman" w:hAnsi="Times New Roman" w:eastAsia="Times New Roman" w:cs="Times New Roman"/>
          <w:sz w:val="28"/>
          <w:lang w:val="en-US"/>
        </w:rPr>
        <w:t xml:space="preserve"> </w:t>
      </w:r>
      <w:r>
        <w:rPr>
          <w:rFonts w:hint="default" w:ascii="Times New Roman" w:hAnsi="Times New Roman" w:eastAsia="Times New Roman" w:cs="Times New Roman"/>
          <w:sz w:val="28"/>
        </w:rPr>
        <w:t>bài học kinh nghiệm trong tổ chức thực hiện;</w:t>
      </w:r>
      <w:r>
        <w:rPr>
          <w:rFonts w:hint="default" w:ascii="Times New Roman" w:hAnsi="Times New Roman" w:eastAsia="Times New Roman" w:cs="Times New Roman"/>
          <w:sz w:val="28"/>
          <w:lang w:val="en-US"/>
        </w:rPr>
        <w:t xml:space="preserve"> </w:t>
      </w:r>
      <w:r>
        <w:rPr>
          <w:rFonts w:hint="default" w:ascii="Times New Roman" w:hAnsi="Times New Roman" w:eastAsia="Times New Roman" w:cs="Times New Roman"/>
          <w:sz w:val="28"/>
        </w:rPr>
        <w:t>bối cảnh mới và yêu cầu đặt ra đối với phát triển liên kết chuỗi giá trị nông sản trong giai đoạn tới.</w:t>
      </w:r>
    </w:p>
    <w:p w14:paraId="11B74BC7">
      <w:pPr>
        <w:spacing w:before="120" w:after="0" w:line="240" w:lineRule="auto"/>
        <w:ind w:firstLine="567"/>
        <w:jc w:val="both"/>
        <w:rPr>
          <w:rFonts w:ascii="Times New Roman" w:hAnsi="Times New Roman" w:eastAsia="Times New Roman" w:cs="Times New Roman"/>
          <w:sz w:val="28"/>
        </w:rPr>
      </w:pPr>
      <w:r>
        <w:rPr>
          <w:rFonts w:hint="default" w:ascii="Times New Roman" w:hAnsi="Times New Roman" w:eastAsia="Times New Roman" w:cs="Times New Roman"/>
          <w:sz w:val="28"/>
        </w:rPr>
        <w:t>Trên cơ sở đó, Bộ Nông nghiệp và Môi trường đã xác định sự cần thiết phải sửa đổi, bổ sung Nghị định số 98/2018/NĐ-CP theo hướng:</w:t>
      </w:r>
      <w:r>
        <w:rPr>
          <w:rFonts w:hint="default" w:ascii="Times New Roman" w:hAnsi="Times New Roman" w:eastAsia="Times New Roman" w:cs="Times New Roman"/>
          <w:sz w:val="28"/>
          <w:lang w:val="en-US"/>
        </w:rPr>
        <w:t xml:space="preserve"> </w:t>
      </w:r>
      <w:r>
        <w:rPr>
          <w:rFonts w:hint="default" w:ascii="Times New Roman" w:hAnsi="Times New Roman" w:eastAsia="Times New Roman" w:cs="Times New Roman"/>
          <w:sz w:val="28"/>
        </w:rPr>
        <w:t>hoàn thiện cơ chế phát triển vùng nguyên liệu nông sản đạt chuẩn;</w:t>
      </w:r>
      <w:r>
        <w:rPr>
          <w:rFonts w:hint="default" w:ascii="Times New Roman" w:hAnsi="Times New Roman" w:eastAsia="Times New Roman" w:cs="Times New Roman"/>
          <w:sz w:val="28"/>
          <w:lang w:val="en-US"/>
        </w:rPr>
        <w:t xml:space="preserve"> </w:t>
      </w:r>
      <w:r>
        <w:rPr>
          <w:rFonts w:hint="default" w:ascii="Times New Roman" w:hAnsi="Times New Roman" w:eastAsia="Times New Roman" w:cs="Times New Roman"/>
          <w:sz w:val="28"/>
        </w:rPr>
        <w:t>tăng cường vai trò của hợp tác xã trong tổ chức liên kết;</w:t>
      </w:r>
      <w:r>
        <w:rPr>
          <w:rFonts w:hint="default" w:ascii="Times New Roman" w:hAnsi="Times New Roman" w:eastAsia="Times New Roman" w:cs="Times New Roman"/>
          <w:sz w:val="28"/>
          <w:lang w:val="en-US"/>
        </w:rPr>
        <w:t xml:space="preserve"> </w:t>
      </w:r>
      <w:r>
        <w:rPr>
          <w:rFonts w:hint="default" w:ascii="Times New Roman" w:hAnsi="Times New Roman" w:eastAsia="Times New Roman" w:cs="Times New Roman"/>
          <w:sz w:val="28"/>
        </w:rPr>
        <w:t>thúc đẩy liên kết chuỗi giá trị theo hướng hiện đại, số hóa và xanh hóa;</w:t>
      </w:r>
      <w:r>
        <w:rPr>
          <w:rFonts w:hint="default" w:ascii="Times New Roman" w:hAnsi="Times New Roman" w:eastAsia="Times New Roman" w:cs="Times New Roman"/>
          <w:sz w:val="28"/>
          <w:lang w:val="en-US"/>
        </w:rPr>
        <w:t xml:space="preserve"> </w:t>
      </w:r>
      <w:r>
        <w:rPr>
          <w:rFonts w:hint="default" w:ascii="Times New Roman" w:hAnsi="Times New Roman" w:eastAsia="Times New Roman" w:cs="Times New Roman"/>
          <w:sz w:val="28"/>
        </w:rPr>
        <w:t>đơn giản hóa thủ tục hành chính và nâng cao hiệu quả thực thi chính sách;</w:t>
      </w:r>
      <w:r>
        <w:rPr>
          <w:rFonts w:hint="default" w:ascii="Times New Roman" w:hAnsi="Times New Roman" w:eastAsia="Times New Roman" w:cs="Times New Roman"/>
          <w:sz w:val="28"/>
          <w:lang w:val="en-US"/>
        </w:rPr>
        <w:t xml:space="preserve"> </w:t>
      </w:r>
      <w:r>
        <w:rPr>
          <w:rFonts w:hint="default" w:ascii="Times New Roman" w:hAnsi="Times New Roman" w:eastAsia="Times New Roman" w:cs="Times New Roman"/>
          <w:sz w:val="28"/>
        </w:rPr>
        <w:t>tạo động lực thu hút doanh nghiệp đầu tư vào nông nghiệp và phát triển chuỗi giá trị nông sản bền vững.</w:t>
      </w:r>
      <w:r>
        <w:rPr>
          <w:rFonts w:hint="default" w:ascii="Times New Roman" w:hAnsi="Times New Roman" w:eastAsia="Times New Roman" w:cs="Times New Roman"/>
          <w:sz w:val="28"/>
          <w:lang w:val="en-US"/>
        </w:rPr>
        <w:t xml:space="preserve"> </w:t>
      </w:r>
      <w:r>
        <w:rPr>
          <w:rFonts w:hint="default" w:ascii="Times New Roman" w:hAnsi="Times New Roman" w:eastAsia="Times New Roman" w:cs="Times New Roman"/>
          <w:sz w:val="28"/>
        </w:rPr>
        <w:t>Những kết quả tổng kết là cơ sở quan trọng để Bộ Nông nghiệp và Môi trường tham mưu Chính phủ xem xét sửa đổi, bổ sung Nghị định số 98/2018/NĐ-CP nhằm đáp ứng yêu cầu phát triển nông nghiệp trong giai đoạn mới.</w:t>
      </w:r>
    </w:p>
    <w:p w14:paraId="61A8FE20">
      <w:pPr>
        <w:keepNext/>
        <w:spacing w:before="120" w:after="0" w:line="240" w:lineRule="auto"/>
        <w:ind w:right="-102" w:firstLine="539"/>
        <w:rPr>
          <w:rFonts w:hint="default" w:ascii="Times New Roman" w:hAnsi="Times New Roman" w:eastAsia="Times New Roman" w:cs="Times New Roman"/>
          <w:b/>
          <w:sz w:val="28"/>
          <w:lang w:val="en-US"/>
        </w:rPr>
      </w:pPr>
      <w:r>
        <w:rPr>
          <w:rFonts w:ascii="Times New Roman" w:hAnsi="Times New Roman" w:eastAsia="Times New Roman" w:cs="Times New Roman"/>
          <w:b/>
          <w:sz w:val="28"/>
        </w:rPr>
        <w:t>I</w:t>
      </w:r>
      <w:r>
        <w:rPr>
          <w:rFonts w:hint="default" w:ascii="Times New Roman" w:hAnsi="Times New Roman" w:eastAsia="Times New Roman" w:cs="Times New Roman"/>
          <w:b/>
          <w:sz w:val="28"/>
          <w:lang w:val="en-US"/>
        </w:rPr>
        <w:t>I</w:t>
      </w:r>
      <w:r>
        <w:rPr>
          <w:rFonts w:ascii="Times New Roman" w:hAnsi="Times New Roman" w:eastAsia="Times New Roman" w:cs="Times New Roman"/>
          <w:b/>
          <w:sz w:val="28"/>
        </w:rPr>
        <w:t xml:space="preserve">. </w:t>
      </w:r>
      <w:r>
        <w:rPr>
          <w:rFonts w:hint="default" w:ascii="Times New Roman" w:hAnsi="Times New Roman" w:eastAsia="Times New Roman" w:cs="Times New Roman"/>
          <w:b/>
          <w:sz w:val="28"/>
          <w:lang w:val="en-US"/>
        </w:rPr>
        <w:t>KẾT QUẢ THỰC HIỆN</w:t>
      </w:r>
    </w:p>
    <w:p w14:paraId="5DB511A1">
      <w:pPr>
        <w:keepNext/>
        <w:spacing w:before="120" w:after="0" w:line="240" w:lineRule="auto"/>
        <w:ind w:right="-102" w:firstLine="539"/>
        <w:rPr>
          <w:rFonts w:hint="default" w:ascii="Times New Roman" w:hAnsi="Times New Roman" w:eastAsia="Times New Roman" w:cs="Times New Roman"/>
          <w:b/>
          <w:sz w:val="28"/>
          <w:lang w:val="en-US"/>
        </w:rPr>
      </w:pPr>
      <w:r>
        <w:rPr>
          <w:rFonts w:hint="default" w:ascii="Times New Roman" w:hAnsi="Times New Roman" w:eastAsia="Times New Roman" w:cs="Times New Roman"/>
          <w:b/>
          <w:sz w:val="28"/>
          <w:lang w:val="en-US"/>
        </w:rPr>
        <w:t>1</w:t>
      </w:r>
      <w:r>
        <w:rPr>
          <w:rFonts w:ascii="Times New Roman" w:hAnsi="Times New Roman" w:eastAsia="Times New Roman" w:cs="Times New Roman"/>
          <w:b/>
          <w:sz w:val="28"/>
        </w:rPr>
        <w:t xml:space="preserve">. </w:t>
      </w:r>
      <w:r>
        <w:rPr>
          <w:rFonts w:hint="default" w:ascii="Times New Roman" w:hAnsi="Times New Roman" w:eastAsia="Times New Roman" w:cs="Times New Roman"/>
          <w:b/>
          <w:sz w:val="28"/>
          <w:lang w:val="en-US"/>
        </w:rPr>
        <w:t>T</w:t>
      </w:r>
      <w:r>
        <w:rPr>
          <w:rFonts w:ascii="Times New Roman" w:hAnsi="Times New Roman" w:eastAsia="Times New Roman" w:cs="Times New Roman"/>
          <w:b/>
          <w:sz w:val="28"/>
        </w:rPr>
        <w:t xml:space="preserve">ình hình triển khai thực hiện </w:t>
      </w:r>
      <w:r>
        <w:rPr>
          <w:rFonts w:hint="default" w:ascii="Times New Roman" w:hAnsi="Times New Roman" w:eastAsia="Times New Roman" w:cs="Times New Roman"/>
          <w:b/>
          <w:sz w:val="28"/>
          <w:lang w:val="en-US"/>
        </w:rPr>
        <w:t>N</w:t>
      </w:r>
      <w:r>
        <w:rPr>
          <w:rFonts w:ascii="Times New Roman" w:hAnsi="Times New Roman" w:eastAsia="Times New Roman" w:cs="Times New Roman"/>
          <w:b/>
          <w:sz w:val="28"/>
        </w:rPr>
        <w:t>ghị định</w:t>
      </w:r>
      <w:r>
        <w:rPr>
          <w:rFonts w:hint="default" w:ascii="Times New Roman" w:hAnsi="Times New Roman" w:eastAsia="Times New Roman" w:cs="Times New Roman"/>
          <w:b/>
          <w:sz w:val="28"/>
          <w:lang w:val="en-US"/>
        </w:rPr>
        <w:t xml:space="preserve"> 98</w:t>
      </w:r>
    </w:p>
    <w:p w14:paraId="0672321F">
      <w:pPr>
        <w:spacing w:before="120" w:after="0" w:line="240" w:lineRule="auto"/>
        <w:ind w:firstLine="540"/>
        <w:rPr>
          <w:rFonts w:ascii="Times New Roman" w:hAnsi="Times New Roman" w:eastAsia="Times New Roman" w:cs="Times New Roman"/>
          <w:b/>
          <w:sz w:val="28"/>
          <w:szCs w:val="28"/>
        </w:rPr>
      </w:pPr>
      <w:r>
        <w:rPr>
          <w:rFonts w:ascii="Times New Roman" w:hAnsi="Times New Roman" w:eastAsia="Times New Roman" w:cs="Times New Roman"/>
          <w:b/>
          <w:sz w:val="28"/>
          <w:szCs w:val="28"/>
        </w:rPr>
        <w:t>1.1. Ở Trung ương:</w:t>
      </w:r>
    </w:p>
    <w:p w14:paraId="65F98090">
      <w:pPr>
        <w:spacing w:before="120" w:after="0" w:line="240" w:lineRule="auto"/>
        <w:ind w:firstLine="540"/>
        <w:jc w:val="both"/>
        <w:rPr>
          <w:rFonts w:ascii="Times New Roman" w:hAnsi="Times New Roman" w:eastAsia="Times New Roman" w:cs="Times New Roman"/>
          <w:sz w:val="28"/>
        </w:rPr>
      </w:pPr>
      <w:r>
        <w:rPr>
          <w:rFonts w:ascii="Times New Roman" w:hAnsi="Times New Roman" w:eastAsia="Times New Roman" w:cs="Times New Roman"/>
          <w:sz w:val="28"/>
        </w:rPr>
        <w:t>a) Bộ Nông nghiệp và Môi trường:</w:t>
      </w:r>
    </w:p>
    <w:p w14:paraId="2FC60215">
      <w:pPr>
        <w:spacing w:before="120" w:after="0" w:line="240" w:lineRule="auto"/>
        <w:ind w:firstLine="567"/>
        <w:jc w:val="both"/>
        <w:rPr>
          <w:rFonts w:ascii="Times New Roman" w:hAnsi="Times New Roman" w:eastAsia="Times New Roman" w:cs="Times New Roman"/>
          <w:spacing w:val="-2"/>
          <w:sz w:val="28"/>
        </w:rPr>
      </w:pPr>
      <w:r>
        <w:rPr>
          <w:rFonts w:ascii="Times New Roman" w:hAnsi="Times New Roman" w:eastAsia="Times New Roman" w:cs="Times New Roman"/>
          <w:sz w:val="28"/>
        </w:rPr>
        <w:t>- Ngay sau khi Chính phủ ban hành Nghị định 98, ngày 18/8/2018, Bộ Nông nghiệp và Môi trường (trước kia là Bộ Nông nghiệp và PTNT) đã tổ chức Hội nghị trực tuyến triển khai thực hiện Nghị định do 01 đồng chí Phó Thủ tướng Chính phủ chủ trì. Bộ cũng đã ban hành kế hoạch triển khai thực hiện</w:t>
      </w:r>
      <w:r>
        <w:rPr>
          <w:rStyle w:val="11"/>
          <w:rFonts w:ascii="Times New Roman" w:hAnsi="Times New Roman" w:eastAsia="Times New Roman" w:cs="Times New Roman"/>
          <w:sz w:val="28"/>
        </w:rPr>
        <w:footnoteReference w:id="0"/>
      </w:r>
      <w:r>
        <w:rPr>
          <w:rFonts w:ascii="Times New Roman" w:hAnsi="Times New Roman" w:eastAsia="Times New Roman" w:cs="Times New Roman"/>
          <w:sz w:val="28"/>
        </w:rPr>
        <w:t xml:space="preserve"> Nghị định 98 và Kế hoạch liên kết sản xuất và tiêu thụ sản phẩm nông nghiệp giữa HTX, liên hiệp HTX nông nghiệp với các doanh nghiệp đến năm 2020</w:t>
      </w:r>
      <w:r>
        <w:rPr>
          <w:rStyle w:val="11"/>
          <w:rFonts w:ascii="Times New Roman" w:hAnsi="Times New Roman" w:eastAsia="Times New Roman" w:cs="Times New Roman"/>
          <w:sz w:val="28"/>
        </w:rPr>
        <w:footnoteReference w:id="1"/>
      </w:r>
      <w:r>
        <w:rPr>
          <w:rFonts w:ascii="Times New Roman" w:hAnsi="Times New Roman" w:eastAsia="Times New Roman" w:cs="Times New Roman"/>
          <w:spacing w:val="2"/>
          <w:sz w:val="28"/>
        </w:rPr>
        <w:t xml:space="preserve">. </w:t>
      </w:r>
      <w:r>
        <w:rPr>
          <w:rFonts w:ascii="Times New Roman" w:hAnsi="Times New Roman" w:eastAsia="Times New Roman" w:cs="Times New Roman"/>
          <w:sz w:val="28"/>
        </w:rPr>
        <w:t xml:space="preserve">Ngoài ra </w:t>
      </w:r>
      <w:r>
        <w:rPr>
          <w:rFonts w:ascii="Times New Roman" w:hAnsi="Times New Roman" w:eastAsia="Times New Roman" w:cs="Times New Roman"/>
          <w:spacing w:val="-2"/>
          <w:sz w:val="28"/>
        </w:rPr>
        <w:t>Bộ đã ban hành văn bản triển khai thí điểm mô hình</w:t>
      </w:r>
      <w:r>
        <w:rPr>
          <w:rStyle w:val="11"/>
          <w:rFonts w:ascii="Times New Roman" w:hAnsi="Times New Roman" w:eastAsia="Times New Roman" w:cs="Times New Roman"/>
          <w:spacing w:val="-2"/>
          <w:sz w:val="28"/>
        </w:rPr>
        <w:footnoteReference w:id="2"/>
      </w:r>
      <w:r>
        <w:rPr>
          <w:rFonts w:ascii="Times New Roman" w:hAnsi="Times New Roman" w:eastAsia="Times New Roman" w:cs="Times New Roman"/>
          <w:spacing w:val="-2"/>
          <w:sz w:val="28"/>
        </w:rPr>
        <w:t xml:space="preserve"> chuỗi liên kết sản xuất, tiêu thụ nông sản giữa Doanh nghiệp - HTX - Hộ nông dân và đề nghị UBND các tỉnh, thành phố giao Sở Nông nghiệp và Môi trường là cơ quan đầu mối tham mưu triển khai các nội dung Kế hoạch thí điểm tại địa phương.</w:t>
      </w:r>
    </w:p>
    <w:p w14:paraId="5A4ABD70">
      <w:pPr>
        <w:spacing w:before="120" w:after="0" w:line="240" w:lineRule="auto"/>
        <w:ind w:firstLine="567"/>
        <w:jc w:val="both"/>
        <w:rPr>
          <w:rFonts w:ascii="Times New Roman" w:hAnsi="Times New Roman" w:eastAsia="Times New Roman" w:cs="Times New Roman"/>
          <w:sz w:val="28"/>
        </w:rPr>
      </w:pPr>
      <w:r>
        <w:rPr>
          <w:rFonts w:ascii="Times New Roman" w:hAnsi="Times New Roman" w:eastAsia="Times New Roman" w:cs="Times New Roman"/>
          <w:sz w:val="28"/>
        </w:rPr>
        <w:t>- Bộ đã tập trung tuyên truyền trên các báo, đài Trung ương về các nội dung thực hiện chính sách, đồng thời quảng bá và giới thiệu những mô hình liên kết điển hình của các tỉnh, thành phố để các địa phương khác học tập và nhân rộng; mặt khác Bộ cũng thông qua các lớp đào tạo, tập huấn cho cán bộ và thành viên các HTX tăng cường giới thiệu nội dung chính sách liên kết theo Nghị định 98; tổ chức Lễ tuyên dương điển hình liên kết Hộ nông dân- HTX- Doanh nghiệp trong sản xuất, tiêu thụ nông sản tại TP. Hà Nội và tỉnh Vĩnh Long.</w:t>
      </w:r>
    </w:p>
    <w:p w14:paraId="00525B6A">
      <w:pPr>
        <w:spacing w:before="120" w:after="0" w:line="240" w:lineRule="auto"/>
        <w:ind w:firstLine="567"/>
        <w:jc w:val="both"/>
        <w:rPr>
          <w:rFonts w:ascii="Times New Roman" w:hAnsi="Times New Roman" w:eastAsia="Times New Roman" w:cs="Times New Roman"/>
          <w:spacing w:val="-2"/>
          <w:sz w:val="28"/>
        </w:rPr>
      </w:pPr>
      <w:r>
        <w:rPr>
          <w:rFonts w:ascii="Times New Roman" w:hAnsi="Times New Roman" w:eastAsia="Times New Roman" w:cs="Times New Roman"/>
          <w:sz w:val="28"/>
        </w:rPr>
        <w:t>Ngoài ra, Bộ đã ký kết và triển khai Chương trình phối hợp giữa Bộ Nông nghiệp và Phát triển nông thôn (trước kia) với Liên minh Hợp tác xã Việt Nam và Trung ương Hội Nông dân Việt Nam</w:t>
      </w:r>
      <w:r>
        <w:rPr>
          <w:rFonts w:ascii="Times New Roman" w:hAnsi="Times New Roman" w:eastAsia="Times New Roman" w:cs="Times New Roman"/>
          <w:spacing w:val="-2"/>
          <w:sz w:val="28"/>
        </w:rPr>
        <w:t>; tổ chức ký kết thỏa thuận hợp tác giữa Bộ với các Hiệp hội ngành hàng, các doanh nghiệp để tổ chức xây dựng 26 mô hình liên kết sản xuất tiêu thụ sản phẩm nông nghiệp như: ký kết thỏa thuận phối hợp với Hiệp hội Mía đường Việt Nam; với các Công ty mía đường tại Thanh Hóa, Gia Lai, Khánh Hòa, TP. Cần Thơ (tỉnh Hậu Giang trước kia), Sơn La; thỏa thuận hợp tác với doanh nghiệp sản xuất lúa gạo tại Ninh Bình (Nam Định trước kia), Thanh Hóa, Đắk Lắk, Lào Cai; p</w:t>
      </w:r>
      <w:r>
        <w:rPr>
          <w:rFonts w:ascii="Times New Roman" w:hAnsi="Times New Roman" w:eastAsia="Times New Roman" w:cs="Times New Roman"/>
          <w:sz w:val="28"/>
        </w:rPr>
        <w:t>hối hợp với Hiệp hội Mía đường Việt Nam (tại văn bản số 01/KTHT-HHMĐ ngày 27/9/2017) xây dựng thí điểm các HTX, hình thành mô hình liên kết sản xuất giữa hộ nông dân với doanh nghiệp và đào tạo nghề lao động nông nghiệp trong ngành mía đường; phối hợp với Tổng công ty Lương thực miền Nam tổ chức hội nghị kết nối tiêu thụ lúa gạo, đồng thời Cục Kinh tế hợp tác và PTNT đã có văn bản chỉ đạo Chi cục PTNT các tỉnh vùng ĐBSCL phối hợp cùng hỗ trợ phát triển vùng nguyên liệu với Tổng công ty Lương thực miền Nam.</w:t>
      </w:r>
    </w:p>
    <w:p w14:paraId="7289B04C">
      <w:pPr>
        <w:spacing w:before="120" w:after="0" w:line="240" w:lineRule="auto"/>
        <w:ind w:firstLine="567"/>
        <w:jc w:val="both"/>
        <w:rPr>
          <w:rFonts w:ascii="Times New Roman" w:hAnsi="Times New Roman" w:eastAsia="Times New Roman" w:cs="Times New Roman"/>
          <w:sz w:val="28"/>
        </w:rPr>
      </w:pPr>
      <w:r>
        <w:rPr>
          <w:rFonts w:ascii="Times New Roman" w:hAnsi="Times New Roman" w:eastAsia="Times New Roman" w:cs="Times New Roman"/>
          <w:sz w:val="28"/>
        </w:rPr>
        <w:t>- Để thúc đẩy liên kết, Bộ đã phối hợp với Tập đoàn Central Retai Việt Nam tổ chức các Hội thảo xúc tiến đầu tư xây dựng chuỗi an toàn thực phẩm, kết nối cung cầu cho sản phẩm của các HTX nông nghiệp và tổ chức chấm thi các sản phẩm nông sản tiêu biểu tại các tỉnh, TP như: Hà Nội, Hồ Chí Minh, Cần Thơ, Khánh Hòa, Huế, Lâm Đồng; triển khai các hội nghị kết nối tiêu thụ nông sản cho các HTX, THT, trang trại với chuỗi siêu thị BigC tại các tỉnh, thành phố: Hà Nội, Hồ Chí Minh, Cần Thơ, Khánh Hòa, Lâm Đồng, Huế. Bộ cũng chỉ đạo xây dựng các tổ chức nông dân gắn với liên kết chuỗi giá trị lúa gạo ở ĐBSCL và cà phê ở Tây Nguyên trong dự án VnSAT và nhiều Dự án khác.</w:t>
      </w:r>
    </w:p>
    <w:p w14:paraId="273D35B2">
      <w:pPr>
        <w:spacing w:before="120" w:after="0" w:line="240" w:lineRule="auto"/>
        <w:ind w:firstLine="567"/>
        <w:jc w:val="both"/>
        <w:rPr>
          <w:rFonts w:ascii="Times New Roman" w:hAnsi="Times New Roman" w:eastAsia="Times New Roman" w:cs="Times New Roman"/>
          <w:sz w:val="28"/>
        </w:rPr>
      </w:pPr>
      <w:r>
        <w:rPr>
          <w:rFonts w:ascii="Times New Roman" w:hAnsi="Times New Roman" w:eastAsia="Times New Roman" w:cs="Times New Roman"/>
          <w:sz w:val="28"/>
        </w:rPr>
        <w:t xml:space="preserve">- Nhằm hướng dẫn, tháo gỡ khó khăn thực hiện liên kết theo Nghị định 98, Cục Kinh tế hợp tác và PTNT đã ban hành </w:t>
      </w:r>
      <w:r>
        <w:rPr>
          <w:rFonts w:ascii="Times New Roman" w:hAnsi="Times New Roman" w:eastAsia="Times New Roman" w:cs="Times New Roman"/>
          <w:i/>
          <w:sz w:val="28"/>
        </w:rPr>
        <w:t>“Sổ tay hướng dẫn liên kết gắn sản xuất với tiêu thụ sản phẩm nông nghiệp”</w:t>
      </w:r>
      <w:r>
        <w:rPr>
          <w:rFonts w:ascii="Times New Roman" w:hAnsi="Times New Roman" w:eastAsia="Times New Roman" w:cs="Times New Roman"/>
          <w:sz w:val="28"/>
        </w:rPr>
        <w:t xml:space="preserve">; phối hợp với Viện Chiến lược, Chính sách Nông nghiệp và Môi trường (trước kia là Viện Chính sách và Chiến lược phát triển NNNT) xuất bản Sổ tay </w:t>
      </w:r>
      <w:r>
        <w:rPr>
          <w:rFonts w:ascii="Times New Roman" w:hAnsi="Times New Roman" w:eastAsia="Times New Roman" w:cs="Times New Roman"/>
          <w:i/>
          <w:sz w:val="28"/>
        </w:rPr>
        <w:t>“Hướng dẫn về tiêu chí và Phương thức xây dựng hợp tác xã nông nghiệp hoạt động theo Luật HTX năm 2012 và tham gia liên kết theo chuỗi giá trị nông, lâm thủy sản”</w:t>
      </w:r>
      <w:r>
        <w:rPr>
          <w:rFonts w:ascii="Times New Roman" w:hAnsi="Times New Roman" w:eastAsia="Times New Roman" w:cs="Times New Roman"/>
          <w:sz w:val="28"/>
        </w:rPr>
        <w:t>. Trong quá trình thực hiện Nghị định 98, Cục Kinh tế hợp tác và PTNT đã ban hành nhiều văn bản hướng dẫn, trả lời những thắc mắc giúp các địa phương tháo gỡ những khó khăn vướng mắc trong triển khai thực hiện chính sách tại cơ sở</w:t>
      </w:r>
      <w:r>
        <w:rPr>
          <w:rStyle w:val="11"/>
          <w:rFonts w:ascii="Times New Roman" w:hAnsi="Times New Roman" w:eastAsia="Times New Roman" w:cs="Times New Roman"/>
          <w:sz w:val="28"/>
        </w:rPr>
        <w:footnoteReference w:id="3"/>
      </w:r>
      <w:r>
        <w:rPr>
          <w:rFonts w:ascii="Times New Roman" w:hAnsi="Times New Roman" w:eastAsia="Times New Roman" w:cs="Times New Roman"/>
          <w:sz w:val="28"/>
        </w:rPr>
        <w:t xml:space="preserve">. </w:t>
      </w:r>
    </w:p>
    <w:p w14:paraId="7241A6AF">
      <w:pPr>
        <w:spacing w:before="120" w:after="0" w:line="240" w:lineRule="auto"/>
        <w:ind w:firstLine="567"/>
        <w:jc w:val="both"/>
        <w:rPr>
          <w:rFonts w:ascii="Times New Roman" w:hAnsi="Times New Roman" w:eastAsia="Times New Roman" w:cs="Times New Roman"/>
          <w:sz w:val="28"/>
        </w:rPr>
      </w:pPr>
      <w:r>
        <w:rPr>
          <w:rFonts w:ascii="Times New Roman" w:hAnsi="Times New Roman" w:eastAsia="Times New Roman" w:cs="Times New Roman"/>
          <w:sz w:val="28"/>
        </w:rPr>
        <w:t xml:space="preserve">- Bộ cũng đã tập trung chỉ đạo các đơn vị thuộc Bộ phối hợp với các địa phương xây dựng các mô hình, đề án thí điểm liên kết gắn với tái cơ cấu ngành nông nghiệp và xây dựng nông thôn mới. Điển hình như: Xây dựng 05 chuỗi ngành hàng chủ lực gồm: cà phê, lúa gạo, cá tra, ba sa, trái cây, lâm sản và Chương trình mỗi xã một sản phẩm (OCOP). Hiện nay, Bộ đang chỉ đạo thực hiện Đề án thí điểm phát triển vùng nguyên liệu nông, lâm sản đạt chuẩn phục vụ tiêu thụ trong nước và xuất khẩu giai đoạn 2022-2025 theo Quyết định số 1088/QĐ-BNN-KTHT. Đề án tập trung vào xây dựng thí điểm 05 vùng nguyên liệu sản xuất nông sản hàng hóa tập trung (lúa gạo, trái cây, cà phê, gỗ rừng trồng) gắn với liên kết chuỗi giá trị, phục vụ cho các nhà máy chế biến, xuất khẩu nông sản. Đặc biệt, Bộ đã và đnag chỉ đạo triển khai Đề án </w:t>
      </w:r>
      <w:r>
        <w:rPr>
          <w:rFonts w:ascii="Times New Roman" w:hAnsi="Times New Roman" w:eastAsia="Times New Roman" w:cs="Times New Roman"/>
          <w:i/>
          <w:sz w:val="28"/>
        </w:rPr>
        <w:t>“Phát triển bền vững 1 triệu ha chuyên canh lúa chất lượng cao và phát thải thấp gắn với tăng trưởng xanh vùng ĐBSCL đến năm 2030”</w:t>
      </w:r>
      <w:r>
        <w:rPr>
          <w:rFonts w:ascii="Times New Roman" w:hAnsi="Times New Roman" w:eastAsia="Times New Roman" w:cs="Times New Roman"/>
          <w:sz w:val="28"/>
        </w:rPr>
        <w:t xml:space="preserve"> theo Quyết định số 1490/QĐ-TTg của Thủ tướng Chính phủ. Đến nay, đề án đã bước đầu đạt được những kết quả nổi bật như: giảm chi phí sản xuất, tăng lợi nhuận cho nông dân từ 4,6 - 15,8 triệu đồng/ha so với ngoài mô hình, giảm lượng phân bón và thuốc bảo vệ thực vật, đồng thời giúp thu gom và xử lý rơm rạ hiệu quả. Các mô hình thí điểm đã thu hút nhiều nông dân, HTX và Doanh nghiệp tham gia liên kết, cho thấy hiệu quả tích cực và mở ra cơ hội nâng cao giá trị hạt gạo Việt Nam trên thị trường quốc tế. </w:t>
      </w:r>
    </w:p>
    <w:p w14:paraId="5BA46A2E">
      <w:pPr>
        <w:spacing w:before="120" w:after="0" w:line="240" w:lineRule="auto"/>
        <w:ind w:firstLine="567"/>
        <w:jc w:val="both"/>
        <w:rPr>
          <w:rFonts w:ascii="Times New Roman" w:hAnsi="Times New Roman" w:eastAsia="Times New Roman" w:cs="Times New Roman"/>
          <w:sz w:val="28"/>
        </w:rPr>
      </w:pPr>
      <w:r>
        <w:rPr>
          <w:rFonts w:ascii="Times New Roman" w:hAnsi="Times New Roman" w:eastAsia="Times New Roman" w:cs="Times New Roman"/>
          <w:sz w:val="28"/>
        </w:rPr>
        <w:t>b) Các Bộ: Tài chính, Công thương:</w:t>
      </w:r>
    </w:p>
    <w:p w14:paraId="4C14B04F">
      <w:pPr>
        <w:spacing w:before="120" w:after="0" w:line="240" w:lineRule="auto"/>
        <w:ind w:firstLine="567"/>
        <w:jc w:val="both"/>
        <w:rPr>
          <w:rFonts w:ascii="Times New Roman" w:hAnsi="Times New Roman" w:eastAsia="Times New Roman" w:cs="Times New Roman"/>
          <w:color w:val="000000"/>
          <w:sz w:val="28"/>
          <w:shd w:val="clear" w:color="auto" w:fill="FFFFFF"/>
        </w:rPr>
      </w:pPr>
      <w:r>
        <w:rPr>
          <w:rFonts w:ascii="Times New Roman" w:hAnsi="Times New Roman" w:eastAsia="Times New Roman" w:cs="Times New Roman"/>
          <w:color w:val="000000"/>
          <w:sz w:val="28"/>
          <w:shd w:val="clear" w:color="auto" w:fill="FFFFFF"/>
        </w:rPr>
        <w:t>- Bộ Tài chính đã tổng hợp, báo cáo Thủ tướng Chính phủ giao Bộ Nông nghiệp và Môi trường nguồn vốn NSNN để thực hiện các dự án thuộc các chương trình có liên quan đến hỗ trợ thực hiện chính sách khuyến khích phát triển hợp tác, liên kết trong sản xuất và tiêu thụ sản phẩm nông nghiệp theo Nghị định số 98, trong đó riêng 05 năm  giai đoạn 2019-2023 là 55.801 tỷ đồng. Bộ Tài chính cũng đã cân đối kinh phí từ ngân sách Trung ương phân bổ cho Bộ Nông nghiệp và Môi trường thực hiện một số Chương trình, trong đó có lồng ghép các nội dung thực hiện chính sách tại Nghị định số 98 như: Chương trình Khuyến nông; Chương trình mục tiêu Tái cơ cấu ngành nông nghiệp và phòng chống giảm nhẹ thiên; Chương trình MTQG xây dựng nông thôn mới.</w:t>
      </w:r>
    </w:p>
    <w:p w14:paraId="50BC9A65">
      <w:pPr>
        <w:spacing w:before="120" w:after="0" w:line="240" w:lineRule="auto"/>
        <w:ind w:firstLine="720"/>
        <w:jc w:val="both"/>
        <w:rPr>
          <w:rFonts w:ascii="Times New Roman" w:hAnsi="Times New Roman" w:eastAsia="Times New Roman" w:cs="Times New Roman"/>
          <w:sz w:val="28"/>
        </w:rPr>
      </w:pPr>
      <w:r>
        <w:rPr>
          <w:rFonts w:ascii="Times New Roman" w:hAnsi="Times New Roman" w:eastAsia="Times New Roman" w:cs="Times New Roman"/>
          <w:sz w:val="28"/>
        </w:rPr>
        <w:t>- Bộ Công thương đã c</w:t>
      </w:r>
      <w:r>
        <w:rPr>
          <w:rFonts w:ascii="Times New Roman" w:hAnsi="Times New Roman" w:eastAsia="Times New Roman" w:cs="Times New Roman"/>
          <w:color w:val="000000"/>
          <w:sz w:val="28"/>
          <w:shd w:val="clear" w:color="auto" w:fill="FFFFFF"/>
        </w:rPr>
        <w:t xml:space="preserve">hủ trì, phối hợp với các Bộ, ngành, UBND các tỉnh, thành phố tổ chức xây dựng mô hình thí điểm tiêu thụ nông sản và cung ứng vật tư nông nghiệp tại 14 tỉnh với 28 mô hình (14 mô hình Doanh nghiệp - HTX - Hộ nông dân ở vùng sản xuất hàng hóa tập trung và 14 mô hình Doanh nghiệp - Hộ kinh doanh - Hộ nông dân ở vùng sản xuất phân tán; kinh phí ngân sách Trung ương hỗ trợ 500 triệu đồng/mô hình; đồng thời tổ chức </w:t>
      </w:r>
      <w:r>
        <w:rPr>
          <w:rFonts w:ascii="Times New Roman" w:hAnsi="Times New Roman" w:eastAsia="Times New Roman" w:cs="Times New Roman"/>
          <w:sz w:val="28"/>
        </w:rPr>
        <w:t>đào tạo bồi dưỡng 27 lớp cán bộ tổ quản lý, ban quản lý, doanh nghiệp quản lý chợ với tổng số 3.062 học viên; đào tạo, bồi dưỡng kiến thức 36 lớp cán bộ kinh doanh quy mô hộ gia đình với cho 4.430 học viên.</w:t>
      </w:r>
    </w:p>
    <w:p w14:paraId="6E7BEA68">
      <w:pPr>
        <w:spacing w:before="120" w:after="0" w:line="240" w:lineRule="auto"/>
        <w:ind w:firstLine="567"/>
        <w:jc w:val="both"/>
        <w:rPr>
          <w:rFonts w:ascii="Times New Roman" w:hAnsi="Times New Roman" w:eastAsia="Times New Roman" w:cs="Times New Roman"/>
          <w:sz w:val="28"/>
        </w:rPr>
      </w:pPr>
      <w:r>
        <w:rPr>
          <w:rFonts w:ascii="Times New Roman" w:hAnsi="Times New Roman" w:eastAsia="Times New Roman" w:cs="Times New Roman"/>
          <w:sz w:val="28"/>
        </w:rPr>
        <w:t>c) Các Hội đoàn thể chính trị:</w:t>
      </w:r>
    </w:p>
    <w:p w14:paraId="22DC9031">
      <w:pPr>
        <w:spacing w:before="120" w:after="0" w:line="240" w:lineRule="auto"/>
        <w:ind w:firstLine="567"/>
        <w:jc w:val="both"/>
        <w:rPr>
          <w:rFonts w:ascii="Times New Roman" w:hAnsi="Times New Roman" w:eastAsia="Times New Roman" w:cs="Times New Roman"/>
          <w:sz w:val="28"/>
        </w:rPr>
      </w:pPr>
      <w:r>
        <w:rPr>
          <w:rFonts w:ascii="Times New Roman" w:hAnsi="Times New Roman" w:eastAsia="Times New Roman" w:cs="Times New Roman"/>
          <w:i/>
          <w:sz w:val="28"/>
        </w:rPr>
        <w:t>- Trung ương Hội Nông dân Việt Nam</w:t>
      </w:r>
      <w:r>
        <w:rPr>
          <w:rFonts w:ascii="Times New Roman" w:hAnsi="Times New Roman" w:eastAsia="Times New Roman" w:cs="Times New Roman"/>
          <w:sz w:val="28"/>
        </w:rPr>
        <w:t>: Các cấp Hội Nông dân Việt Nam đã tuyên truyền, vận động thực hiện Nghị định 98 cho hơn 3 triệu- lượt người, tổ chức 655 buổi cung cấp thông tin, tư vấn nội dung hợp đồng liên kết và xây dựng dự án liên kết cho hơn 32 ngàn lượt hội viên, nông dân là thành viên các tổ chức kinh tế tập thể do Hội hỗ trợ thành lập xây dựng; phát hành 750 phóng sự, 10.200 tin, bài tuyên truyền về mô hình HTX nông nghiệp tham gia liên kết chuỗi giá trị; phát hành 322.000 cuốn bản tin chuyên đề cung cấp thông tin về hội viên, nông dân tích cực tham gia liên kết sản xuất gắn với tiêu thụ sản phẩm nông nghiệp; đã tổ chức 2.120 lớp tập huấn cho 117.840 lượt người; xây dựng và phát hành gần 200.000 bộ tài liệu về tham gia các hình thức liên kết sản xuất gắn với tiêu thụ sản phẩm nông nghiệp cho các cán bộ, hội viên nông dân. Hội cũng phối hợp với các cơ quan, tổ chức hỗ trợ xúc tiến thương mại cho 1.328 HTX nông nghiệp, chi tổ hội nghề nghiệp, tổ hợp tác có hoạt động liên kết sản xuất gắn với tiêu thụ sản phẩm nông nghiệp; hỗ trợ các HTX nông nghiệp ký kết được 2.761 hợp đồng tiêu thụ nông sản. Đến nay, các cấp Hội hiện có hơn 2.500 chi, tổ Hội (chiếm hơn 50%) tham gia liên kết sản xuất gắn với tiêu thụ sản phẩm nông nghiệp hiệu quả.</w:t>
      </w:r>
    </w:p>
    <w:p w14:paraId="02947DBF">
      <w:pPr>
        <w:spacing w:before="120" w:after="0" w:line="240" w:lineRule="auto"/>
        <w:ind w:firstLine="567"/>
        <w:jc w:val="both"/>
        <w:rPr>
          <w:rFonts w:ascii="Times New Roman" w:hAnsi="Times New Roman" w:eastAsia="Times New Roman" w:cs="Times New Roman"/>
          <w:sz w:val="28"/>
        </w:rPr>
      </w:pPr>
      <w:r>
        <w:rPr>
          <w:rFonts w:ascii="Times New Roman" w:hAnsi="Times New Roman" w:eastAsia="Times New Roman" w:cs="Times New Roman"/>
          <w:i/>
          <w:sz w:val="28"/>
        </w:rPr>
        <w:t>- Trung ương Đoàn TNCS Hồ Chí Minh</w:t>
      </w:r>
      <w:r>
        <w:rPr>
          <w:rFonts w:ascii="Times New Roman" w:hAnsi="Times New Roman" w:eastAsia="Times New Roman" w:cs="Times New Roman"/>
          <w:sz w:val="28"/>
        </w:rPr>
        <w:t>: Trong giai đoạn 2018-2023, Trung ương Đoàn đã tổ chức trên 60 lớp tập huấn cấp Trung ương cho đoàn viên, thanh niên và người dân về phát triển hợp tác, liên kết trong sản xuất và tiêu thụ sản phẩm nông nghiệp. Trung ương Đoàn đã triển khai đưa sản phẩm nông sản của thanh niên nông thôn lên sàn vũ trụ ảo Metaverse với 13 điểm tại 13 tỉnh, thành đoàn trên toàn quốc. Trong giai đoạn 2022-2025 hướng tới mục tiêu triển khai 300 trạm trải nghiệm trực tiếp trên toàn quốc với tổng trị giá 30 tỷ đồng. Sàn nông sản trên vũ trụ ảo Metaverse giúp thanh niên nông thôn được tham gia sự kiện hội chợ triển lãm trực tiếp chuyên nghiệp hàng đầu Việt Nam; trưng bày sản phẩm trên không gian ảo theo dạng các gian hàng 3D với thiết kế ấn tượng, đẹp mắt cùng nhiều tính năng được thiết kế giúp khách hàng với nhà trưng bày thuận tiện, nhanh chóng; được tiếp cận với hàng triệu khách hàng; cơ hội giao lưu, gặp gỡ hàng trăm đối tác tiềm năng.</w:t>
      </w:r>
    </w:p>
    <w:p w14:paraId="15A8C8FA">
      <w:pPr>
        <w:spacing w:before="120" w:after="0" w:line="240" w:lineRule="auto"/>
        <w:ind w:firstLine="540"/>
        <w:rPr>
          <w:rFonts w:ascii="Times New Roman" w:hAnsi="Times New Roman" w:eastAsia="Times New Roman" w:cs="Times New Roman"/>
          <w:b/>
          <w:sz w:val="28"/>
        </w:rPr>
      </w:pPr>
      <w:r>
        <w:rPr>
          <w:rFonts w:ascii="Times New Roman" w:hAnsi="Times New Roman" w:eastAsia="Times New Roman" w:cs="Times New Roman"/>
          <w:b/>
          <w:sz w:val="28"/>
        </w:rPr>
        <w:t>1.2. Ở địa phương:</w:t>
      </w:r>
    </w:p>
    <w:p w14:paraId="0732E855">
      <w:pPr>
        <w:spacing w:before="120" w:after="0" w:line="240" w:lineRule="auto"/>
        <w:ind w:firstLine="540"/>
        <w:jc w:val="both"/>
        <w:rPr>
          <w:rFonts w:ascii="Times New Roman" w:hAnsi="Times New Roman" w:eastAsia="Times New Roman" w:cs="Times New Roman"/>
          <w:sz w:val="28"/>
        </w:rPr>
      </w:pPr>
      <w:r>
        <w:rPr>
          <w:rFonts w:ascii="Times New Roman" w:hAnsi="Times New Roman" w:eastAsia="Times New Roman" w:cs="Times New Roman"/>
          <w:sz w:val="28"/>
        </w:rPr>
        <w:t>a) Công tác chỉ đạo điều hành và ban hành các văn bản hướng dẫn, chỉ đạo triển khai thực hiện chính sách hỗ trợ liên kết theo Nghị định 98:</w:t>
      </w:r>
    </w:p>
    <w:p w14:paraId="4707B043">
      <w:pPr>
        <w:spacing w:before="120" w:after="0" w:line="240" w:lineRule="auto"/>
        <w:ind w:firstLine="567"/>
        <w:jc w:val="both"/>
        <w:rPr>
          <w:rFonts w:ascii="Times New Roman" w:hAnsi="Times New Roman" w:eastAsia="Times New Roman" w:cs="Times New Roman"/>
          <w:sz w:val="28"/>
        </w:rPr>
      </w:pPr>
      <w:r>
        <w:rPr>
          <w:rFonts w:ascii="Times New Roman" w:hAnsi="Times New Roman" w:eastAsia="Times New Roman" w:cs="Times New Roman"/>
          <w:sz w:val="28"/>
        </w:rPr>
        <w:t>- Trên cơ sở Nghị định số 98 và các Kế hoạch của Bộ Nông nghiệp và Môi trường, HĐND và UBND các tỉnh, thành phố đã ban hành các văn bản hướng dẫn, cơ chế chính sách hỗ trợ phát triển liên kết gắn sản xuất với tiêu thụ nông sản như: Nghị quyết của HĐND tỉnh về phê duyệt chính sách hỗ trợ liên kết sản xuất và tiêu thụ sản phẩm nông nghiệp; Quyết định của UBND tỉnh phê duyệt các ngành hàng, sản phẩm chủ lực cần khuyến khích và ưu tiên hỗ trợ thực hiện liên kết; phê duyệt hỗ trợ các dự án liên kết; quy định phân cấp (tỉnh, xã) phê duyệt hỗ trợ các dự án liên kết theo quy mô vốn đầu tư và địa bàn thực hiện của dự án liên kết.</w:t>
      </w:r>
    </w:p>
    <w:p w14:paraId="0D01DAB3">
      <w:pPr>
        <w:spacing w:before="120" w:after="0" w:line="240" w:lineRule="auto"/>
        <w:ind w:firstLine="567"/>
        <w:jc w:val="both"/>
        <w:rPr>
          <w:rFonts w:ascii="Times New Roman" w:hAnsi="Times New Roman" w:eastAsia="Times New Roman" w:cs="Times New Roman"/>
          <w:sz w:val="28"/>
        </w:rPr>
      </w:pPr>
      <w:r>
        <w:rPr>
          <w:rFonts w:ascii="Times New Roman" w:hAnsi="Times New Roman" w:eastAsia="Times New Roman" w:cs="Times New Roman"/>
          <w:sz w:val="28"/>
        </w:rPr>
        <w:t>- UBND các tỉnh, TP đã tập trung chỉ đạo các cơ quan chuyên môn, UBND cấp xã xây dựng kế hoạch, hướng dẫn, tổ chức thực hiện và kiểm tra tình hình thực hiện trên địa bàn; bố trí ngân sách hỗ trợ thực hiện liên kết. Chỉ đạo các đơn vị, tổ chức liên quan hỗ trợ, triển khai công tác đào tạo, bồi dưỡng kiến thức, cung cấp thông tin về giá cả, dự báo thị trường sản phẩm nông nghiệp cho các bên tham gia liên kết; tiến hành xây dựng mô hình liên kết gắn sản xuất và tiêu thụ sản phẩm nông nghiệp trên địa bàn.</w:t>
      </w:r>
    </w:p>
    <w:p w14:paraId="1B2FCF22">
      <w:pPr>
        <w:spacing w:before="120" w:after="0" w:line="240" w:lineRule="auto"/>
        <w:ind w:firstLine="540"/>
        <w:rPr>
          <w:rFonts w:ascii="Times New Roman" w:hAnsi="Times New Roman" w:eastAsia="Times New Roman" w:cs="Times New Roman"/>
          <w:sz w:val="28"/>
        </w:rPr>
      </w:pPr>
      <w:r>
        <w:rPr>
          <w:rFonts w:ascii="Times New Roman" w:hAnsi="Times New Roman" w:eastAsia="Times New Roman" w:cs="Times New Roman"/>
          <w:sz w:val="28"/>
        </w:rPr>
        <w:t>b) Công tác tuyên truyền triển khai thực hiện chính sách:</w:t>
      </w:r>
    </w:p>
    <w:p w14:paraId="142A177B">
      <w:pPr>
        <w:spacing w:before="120" w:after="0" w:line="240" w:lineRule="auto"/>
        <w:ind w:firstLine="567"/>
        <w:jc w:val="both"/>
        <w:rPr>
          <w:rFonts w:ascii="Times New Roman" w:hAnsi="Times New Roman" w:eastAsia="Times New Roman" w:cs="Times New Roman"/>
          <w:sz w:val="28"/>
        </w:rPr>
      </w:pPr>
      <w:r>
        <w:rPr>
          <w:rFonts w:ascii="Times New Roman" w:hAnsi="Times New Roman" w:eastAsia="Times New Roman" w:cs="Times New Roman"/>
          <w:sz w:val="28"/>
        </w:rPr>
        <w:t>Các tỉnh, TP đã đẩy mạnh công tác thông tin, truyền thông trên báo chí, tryền hình địa phương với tổng số 142 bài, clip phóng sự và phát hành sổ tay tài liệu, tờ rơi với tổng số 35.000 quyển. Các địa phương cũng đã tổ chức nhiều Hội nghị, hội thảo để triển khai kế hoạch thực hiện liên kết trao đổi, tháo gỡ khó khăn, hướng dẫn thực hiện Nghị định số 98 đến cán bộ các Sở, ngành và các doanh nghiệp, HTX, THT, nông dân. Tổng cộng các địa phương đã tổ chức được 5.570 hội nghị, hội thảo, lớp tập huấn triển khai Nghị định 98 với 390.097 lượt người tham gia.</w:t>
      </w:r>
    </w:p>
    <w:p w14:paraId="2DD39224">
      <w:pPr>
        <w:spacing w:before="120" w:after="0" w:line="240" w:lineRule="auto"/>
        <w:ind w:firstLine="540"/>
        <w:jc w:val="both"/>
        <w:rPr>
          <w:rFonts w:ascii="Times New Roman" w:hAnsi="Times New Roman" w:eastAsia="Times New Roman" w:cs="Times New Roman"/>
          <w:b/>
          <w:sz w:val="28"/>
        </w:rPr>
      </w:pPr>
      <w:r>
        <w:rPr>
          <w:rFonts w:ascii="Times New Roman" w:hAnsi="Times New Roman" w:eastAsia="Times New Roman" w:cs="Times New Roman"/>
          <w:b/>
          <w:sz w:val="28"/>
        </w:rPr>
        <w:t>1.3. Công tác tổ chức triển khai Nghị định 98</w:t>
      </w:r>
    </w:p>
    <w:p w14:paraId="289A3B5B">
      <w:pPr>
        <w:spacing w:before="120" w:after="0" w:line="240" w:lineRule="auto"/>
        <w:ind w:firstLine="540"/>
        <w:jc w:val="both"/>
        <w:rPr>
          <w:rFonts w:ascii="Times New Roman" w:hAnsi="Times New Roman" w:eastAsia="Times New Roman" w:cs="Times New Roman"/>
          <w:sz w:val="28"/>
        </w:rPr>
      </w:pPr>
      <w:r>
        <w:rPr>
          <w:rFonts w:ascii="Times New Roman" w:hAnsi="Times New Roman" w:eastAsia="Times New Roman" w:cs="Times New Roman"/>
          <w:sz w:val="28"/>
        </w:rPr>
        <w:t>- Ở Trung ương: Trong 06 năm triển khai, Chính phủ và các cơ quan Trung ương đã ban hành các chính sách, hương dẫn có liên quan tới việc thúc đẩy hợp tác, liên kết trong sản xuất và tiêu thụ sản phẩm nông nghiệp. Từ năm 2022, Chính phủ tiếp tục ban hành Nghị định 27/2022/NĐ-CP (Nghị định 27) và sửa đổi tại Nghị định 38/2023/NĐ-CP (Nghị định 38) quy định về cơ chế quản lý, tổ chức thực hiện các Chương trình MTQG. Theo đó, Nghị định 98 tiếp tục được triển khai theo Chương trình MTQG xây dựng nông thôn mới. Ngoài ra, Chính phủ cũng quy định chính sách, thủ tục hỗ trợ phát triển liên kết chuỗi giá trị đối với các sản phẩm ngoài nông nghiệp. Năm 2023, Bộ Tài chính đã ban hành Thông tư 55/2023/TT-BTC trong đó có hướng dẫn thực hiện chính sách khuyến khích phát triển chuỗi giá trị.</w:t>
      </w:r>
    </w:p>
    <w:p w14:paraId="3FE3E874">
      <w:pPr>
        <w:spacing w:before="120" w:after="0" w:line="240" w:lineRule="auto"/>
        <w:ind w:firstLine="540"/>
        <w:jc w:val="both"/>
        <w:rPr>
          <w:rFonts w:ascii="Times New Roman" w:hAnsi="Times New Roman" w:eastAsia="Times New Roman" w:cs="Times New Roman"/>
          <w:sz w:val="28"/>
        </w:rPr>
      </w:pPr>
      <w:r>
        <w:rPr>
          <w:rFonts w:ascii="Times New Roman" w:hAnsi="Times New Roman" w:eastAsia="Times New Roman" w:cs="Times New Roman"/>
          <w:sz w:val="28"/>
        </w:rPr>
        <w:t>- Ở địa phương: Tất cả các tỉnh, thành phố ban hành danh mục các ngành hàng, sản phẩm quan trọng, chủ lực cần khuyến khích và ưu tiên hỗ trợ thực hiện liên kết gắn sản xuất với tiêu thụ sản phẩm. Hầu hết các tỉnh, thành phố đã ban hành Nghị quyết của HĐND tỉnh, thành phố về chính sách khuyến khích liên kết sản xuất, tiêu thụ sản phẩm nông nghiệp của địa phương theo Nghị định 98 và ban hành văn bản quy định về phân cấp (tỉnh, xã) phê duyệt dự án, kế hoạch liên kết.</w:t>
      </w:r>
    </w:p>
    <w:p w14:paraId="44C81DC4">
      <w:pPr>
        <w:keepNext/>
        <w:spacing w:before="120" w:after="0" w:line="240" w:lineRule="auto"/>
        <w:ind w:right="-102" w:firstLine="539"/>
        <w:rPr>
          <w:rFonts w:hint="default" w:ascii="Times New Roman" w:hAnsi="Times New Roman" w:eastAsia="Times New Roman" w:cs="Times New Roman"/>
          <w:b/>
          <w:sz w:val="28"/>
          <w:lang w:val="en-US"/>
        </w:rPr>
      </w:pPr>
      <w:r>
        <w:rPr>
          <w:rFonts w:hint="default" w:ascii="Times New Roman" w:hAnsi="Times New Roman" w:eastAsia="Times New Roman" w:cs="Times New Roman"/>
          <w:b/>
          <w:sz w:val="28"/>
          <w:lang w:val="en-US"/>
        </w:rPr>
        <w:t>2</w:t>
      </w:r>
      <w:r>
        <w:rPr>
          <w:rFonts w:ascii="Times New Roman" w:hAnsi="Times New Roman" w:eastAsia="Times New Roman" w:cs="Times New Roman"/>
          <w:b/>
          <w:sz w:val="28"/>
        </w:rPr>
        <w:t>. Kết quả thực hiện phát triển liên kết</w:t>
      </w:r>
      <w:r>
        <w:rPr>
          <w:rFonts w:hint="default" w:ascii="Times New Roman" w:hAnsi="Times New Roman" w:eastAsia="Times New Roman" w:cs="Times New Roman"/>
          <w:b/>
          <w:sz w:val="28"/>
          <w:lang w:val="en-US"/>
        </w:rPr>
        <w:t xml:space="preserve"> theo Nghị định 98</w:t>
      </w:r>
    </w:p>
    <w:p w14:paraId="4C2ABCA6">
      <w:pPr>
        <w:spacing w:before="120" w:after="0" w:line="240" w:lineRule="auto"/>
        <w:ind w:firstLine="540"/>
        <w:jc w:val="both"/>
        <w:rPr>
          <w:rFonts w:ascii="Times New Roman" w:hAnsi="Times New Roman" w:eastAsia="Times New Roman" w:cs="Times New Roman"/>
          <w:b/>
          <w:sz w:val="28"/>
        </w:rPr>
      </w:pPr>
      <w:r>
        <w:rPr>
          <w:rFonts w:ascii="Times New Roman" w:hAnsi="Times New Roman" w:eastAsia="Times New Roman" w:cs="Times New Roman"/>
          <w:b/>
          <w:sz w:val="28"/>
        </w:rPr>
        <w:t>2.1. Kết quả phát triển liên kết theo Nghị định 98</w:t>
      </w:r>
    </w:p>
    <w:p w14:paraId="1E93FAFB">
      <w:pPr>
        <w:spacing w:before="120" w:after="0" w:line="240" w:lineRule="auto"/>
        <w:ind w:firstLine="540"/>
        <w:jc w:val="both"/>
        <w:rPr>
          <w:rFonts w:ascii="Times New Roman" w:hAnsi="Times New Roman" w:eastAsia="Times New Roman" w:cs="Times New Roman"/>
          <w:i/>
          <w:sz w:val="28"/>
        </w:rPr>
      </w:pPr>
      <w:r>
        <w:rPr>
          <w:rFonts w:ascii="Times New Roman" w:hAnsi="Times New Roman" w:eastAsia="Times New Roman" w:cs="Times New Roman"/>
          <w:i/>
          <w:sz w:val="28"/>
        </w:rPr>
        <w:t xml:space="preserve">a) Số dự án/kế hoạch liên kết được phê duyệt: </w:t>
      </w:r>
    </w:p>
    <w:p w14:paraId="2E103E62">
      <w:pPr>
        <w:spacing w:before="120" w:after="0" w:line="240" w:lineRule="auto"/>
        <w:ind w:firstLine="540"/>
        <w:jc w:val="both"/>
        <w:rPr>
          <w:rFonts w:ascii="Times New Roman" w:hAnsi="Times New Roman" w:eastAsia="Times New Roman" w:cs="Times New Roman"/>
          <w:sz w:val="28"/>
        </w:rPr>
      </w:pPr>
      <w:r>
        <w:rPr>
          <w:rFonts w:ascii="Times New Roman" w:hAnsi="Times New Roman" w:eastAsia="Times New Roman" w:cs="Times New Roman"/>
          <w:sz w:val="28"/>
        </w:rPr>
        <w:t>Theo số liệu báo cáo của 34 tỉnh, thành phố, tính đến hết tháng 06/2025, cả nước có 2.938 dự án và kế hoạch liên kết theo Nghị định 98 được phê duyệt. Trong đó có 1.968 dự án và 970 kế hoạch liên kết được các địa phương phê duyệt. Theo địa bàn, vùng Trung du và MNPB có 746 dự án, kế hoạch; vùng Đồng bằng sông Hồng có 465 liên kết; vùng Bắc Trung Bộ và Duyên hải miền Trung có 978 liên kết; vùng Tây Nguyên có 458 dự án, kế hoạch. Thấp nhất là các vùng Đông Nam Bộ có 160 dự án, kế hoạch và vùng ĐBSCL chỉ có 131 dự án, kế hoạch liên kết.</w:t>
      </w:r>
    </w:p>
    <w:p w14:paraId="5D8DB567">
      <w:pPr>
        <w:spacing w:before="120" w:after="0" w:line="240" w:lineRule="auto"/>
        <w:ind w:firstLine="540"/>
        <w:jc w:val="both"/>
        <w:rPr>
          <w:rFonts w:ascii="Times New Roman" w:hAnsi="Times New Roman" w:eastAsia="Times New Roman" w:cs="Times New Roman"/>
          <w:sz w:val="28"/>
        </w:rPr>
      </w:pPr>
      <w:r>
        <w:rPr>
          <w:rFonts w:ascii="Times New Roman" w:hAnsi="Times New Roman" w:eastAsia="Times New Roman" w:cs="Times New Roman"/>
          <w:sz w:val="28"/>
        </w:rPr>
        <w:t>Theo Nghị định 98, có 07 hình thức liên kết được phân loại theo hình thức liên kết giữa các công đoạn trong chuỗi từ cung ứng vật tư, dịch vụ đầu vào, tổ chức sản xuất, thu hoạch, sơ chế hoặc chế biến gắn với tiêu thụ sản phẩm nông nghiệp. Tuy nhiên, trên thực tế, các hình thức tố chức liên kết chuỗi là rất đa dạng và được hình thành dựa trên nhu cầu cụ thể của từng khu vực, từng ngành hàng hoặc từng nhóm chủ thể. Trong số các dự án, kế hoạch liên kết, lĩnh vực trồng trọt có nhiều nhất với 1.969 dự án, kế hoạch (chiếm 67%), tiếp đến là lĩnh vực chăn nuôi có 695 dự án, kế hoạch (chiếm 23,7%); lĩnh vực thủy sản có 72 dự án, kế hoạch (chiếm 2,5%); lĩnh vực lâm nghiệp chỉ có 184 dự án, kế hoạch (chiếm 6,3%).</w:t>
      </w:r>
    </w:p>
    <w:p w14:paraId="32F30CB3">
      <w:pPr>
        <w:spacing w:before="120" w:after="0" w:line="240" w:lineRule="auto"/>
        <w:ind w:firstLine="540"/>
        <w:jc w:val="both"/>
        <w:rPr>
          <w:rFonts w:ascii="Times New Roman" w:hAnsi="Times New Roman" w:eastAsia="Times New Roman" w:cs="Times New Roman"/>
          <w:sz w:val="28"/>
        </w:rPr>
      </w:pPr>
      <w:r>
        <w:rPr>
          <w:rFonts w:ascii="Times New Roman" w:hAnsi="Times New Roman" w:eastAsia="Times New Roman" w:cs="Times New Roman"/>
          <w:sz w:val="28"/>
        </w:rPr>
        <w:t>Các bên tham gia và chủ trì liên kết: Để thực hiện liên kết theo Nghị định 98 cần phải có chủ trì liên kết. Đến nay, trong tổng số 2.938 dự án, kế hoạch liên kết theo Nghị định 98 đã được phê duyệt có: 2.412 HTX, 538 Tổ hợp tác, 1.305 doanh nghiệp và 211.545 hộ nông dân tham gia. Trong số này, có 2.331 dự án, kế hoạch liên kết do các HTX làm chủ trì liên kết và 607 dự án, kế hoạch liên kết do doanh nghiệp làm chủ trì liên kết. Chủ trì liên kết xây dựng hồ sơ đề nghị hỗ trợ liên kết. Đối với các dự án liên kết, chủ trì liên kết là chủ đầu tư dự án liên kết.</w:t>
      </w:r>
    </w:p>
    <w:p w14:paraId="40360F37">
      <w:pPr>
        <w:spacing w:before="120" w:after="0" w:line="240" w:lineRule="auto"/>
        <w:jc w:val="center"/>
        <w:rPr>
          <w:rFonts w:ascii="Times New Roman" w:hAnsi="Times New Roman" w:eastAsia="Times New Roman" w:cs="Times New Roman"/>
          <w:b/>
          <w:bCs/>
          <w:sz w:val="28"/>
        </w:rPr>
      </w:pPr>
      <w:bookmarkStart w:id="0" w:name="_Toc151669604"/>
      <w:r>
        <w:rPr>
          <w:rFonts w:ascii="Times New Roman" w:hAnsi="Times New Roman" w:eastAsia="Times New Roman" w:cs="Times New Roman"/>
          <w:b/>
          <w:sz w:val="28"/>
        </w:rPr>
        <w:t>Hình 1: Số dự án, kế hoạch liên kết theo Nghị định 98 chia theo vùng</w:t>
      </w:r>
      <w:r>
        <w:rPr>
          <w:rFonts w:ascii="Times New Roman" w:hAnsi="Times New Roman" w:eastAsia="Times New Roman" w:cs="Times New Roman"/>
          <w:b/>
          <w:bCs/>
          <w:sz w:val="28"/>
        </w:rPr>
        <w:t xml:space="preserve"> </w:t>
      </w:r>
      <w:bookmarkEnd w:id="0"/>
    </w:p>
    <w:p w14:paraId="74F2941C">
      <w:pPr>
        <w:spacing w:before="120" w:after="0" w:line="240" w:lineRule="auto"/>
        <w:jc w:val="center"/>
        <w:rPr>
          <w:rFonts w:ascii="Times New Roman" w:hAnsi="Times New Roman" w:eastAsia="Times New Roman" w:cs="Times New Roman"/>
          <w:b/>
          <w:sz w:val="28"/>
        </w:rPr>
      </w:pPr>
      <w:r>
        <w:rPr>
          <w:lang w:val="vi-VN" w:eastAsia="vi-VN"/>
        </w:rPr>
        <w:drawing>
          <wp:inline distT="0" distB="0" distL="0" distR="0">
            <wp:extent cx="6013450" cy="3448050"/>
            <wp:effectExtent l="0" t="0" r="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04B5BA4D">
      <w:pPr>
        <w:spacing w:before="120" w:after="0" w:line="240" w:lineRule="auto"/>
        <w:ind w:firstLine="540"/>
        <w:jc w:val="both"/>
        <w:rPr>
          <w:rFonts w:ascii="Times New Roman" w:hAnsi="Times New Roman" w:eastAsia="Times New Roman" w:cs="Times New Roman"/>
          <w:i/>
          <w:sz w:val="28"/>
        </w:rPr>
      </w:pPr>
      <w:r>
        <w:rPr>
          <w:rFonts w:ascii="Times New Roman" w:hAnsi="Times New Roman" w:eastAsia="Times New Roman" w:cs="Times New Roman"/>
          <w:i/>
          <w:sz w:val="28"/>
        </w:rPr>
        <w:t xml:space="preserve">b) Các chuỗi sản phẩm nông nghiệp liên kết: </w:t>
      </w:r>
    </w:p>
    <w:p w14:paraId="4AB8D884">
      <w:pPr>
        <w:spacing w:before="120" w:after="0" w:line="240" w:lineRule="auto"/>
        <w:ind w:firstLine="540"/>
        <w:jc w:val="both"/>
        <w:rPr>
          <w:rFonts w:ascii="Times New Roman" w:hAnsi="Times New Roman" w:eastAsia="Times New Roman" w:cs="Times New Roman"/>
          <w:sz w:val="28"/>
        </w:rPr>
      </w:pPr>
      <w:r>
        <w:rPr>
          <w:rFonts w:ascii="Times New Roman" w:hAnsi="Times New Roman" w:eastAsia="Times New Roman" w:cs="Times New Roman"/>
          <w:sz w:val="28"/>
        </w:rPr>
        <w:t>Để triển khai Nghị định 98, các địa phương đã phê duyệt được 1.738 liên kết đối với các sản phẩm chủ lực quốc gia. Còn lại, có 1.200  sản phẩm thuộc nhóm sản phẩm ưu tiên, có lợi thế của địa phương. Trên cơ sở 13 nhóm sản phẩm chủ lực quốc gia, các địa phương đã tập trung xây dựng được 1.738 chuỗi liên kết; trong đó: Lúa, gạo có 682 chuỗi; Cà phê có 24 chuỗi; Cao su có 09 chuỗi; Điều có 21 chuỗi; Hồ tiêu có 09 chuỗi; Chè có 51 chuỗi; Rau quả có 550 chuỗi; Sắn và các sản phẩm từ sản có 15 chuỗi; Thịt lợn có 209 chuỗi; Thịt và trứng gia cầm có 150 chuỗi; Cá tra có 7 chuỗi; Tôm có 2 chuỗi; Gỗ và các sản phẩm từ gỗ có 9 chuỗi.</w:t>
      </w:r>
    </w:p>
    <w:p w14:paraId="01F17054">
      <w:pPr>
        <w:spacing w:before="120" w:after="0" w:line="240" w:lineRule="auto"/>
        <w:ind w:firstLine="540"/>
        <w:jc w:val="both"/>
        <w:rPr>
          <w:rFonts w:ascii="Times New Roman" w:hAnsi="Times New Roman" w:eastAsia="Times New Roman" w:cs="Times New Roman"/>
          <w:sz w:val="28"/>
        </w:rPr>
      </w:pPr>
      <w:r>
        <w:rPr>
          <w:rFonts w:ascii="Times New Roman" w:hAnsi="Times New Roman" w:eastAsia="Times New Roman" w:cs="Times New Roman"/>
          <w:sz w:val="28"/>
        </w:rPr>
        <w:t>Số dự án/kế hoạch liên kết của nhóm sản phẩm chủ lực quốc gia cao nhất là vùng Bắc trung bộ và Duyên hải miền Trung (621 dự án/kế hoạch), tiếp theo là  của vùng Trung du MNPB (310 dự án/kế hoạch), vùng Tây Nguyên (268 dự án/kế hoạch). Số dự án/kế hoạch liên kết nhóm sản phẩm chủ lực quốc gia thấp nhất là của vùng Đồng bằng Sông Cửu Long (112 dự án/kế hoạch), đây cũng là vùng có tổng số lượng các dự án/kế hoạch liên kết theo Nghị định 98 thấp nhất.</w:t>
      </w:r>
    </w:p>
    <w:p w14:paraId="172C61F1">
      <w:pPr>
        <w:spacing w:before="120" w:after="0" w:line="240" w:lineRule="auto"/>
        <w:jc w:val="center"/>
        <w:rPr>
          <w:rFonts w:ascii="Times New Roman" w:hAnsi="Times New Roman" w:eastAsia="Times New Roman" w:cs="Times New Roman"/>
          <w:b/>
          <w:sz w:val="28"/>
        </w:rPr>
      </w:pPr>
      <w:bookmarkStart w:id="1" w:name="_Toc151669608"/>
      <w:r>
        <w:rPr>
          <w:rFonts w:ascii="Times New Roman" w:hAnsi="Times New Roman" w:eastAsia="Times New Roman" w:cs="Times New Roman"/>
          <w:b/>
          <w:sz w:val="28"/>
        </w:rPr>
        <w:t>Hình 2. Số liên kết được phê duyệt theo nhóm các sản phẩm chủ lực quốc gia</w:t>
      </w:r>
      <w:bookmarkEnd w:id="1"/>
    </w:p>
    <w:p w14:paraId="1CB60962">
      <w:pPr>
        <w:spacing w:before="120" w:after="0" w:line="240" w:lineRule="auto"/>
        <w:jc w:val="center"/>
        <w:rPr>
          <w:rFonts w:ascii="Times New Roman" w:hAnsi="Times New Roman" w:eastAsia="Times New Roman" w:cs="Times New Roman"/>
          <w:b/>
          <w:sz w:val="28"/>
        </w:rPr>
      </w:pPr>
      <w:r>
        <w:rPr>
          <w:lang w:val="vi-VN" w:eastAsia="vi-VN"/>
        </w:rPr>
        <w:drawing>
          <wp:inline distT="0" distB="0" distL="0" distR="0">
            <wp:extent cx="5721350" cy="2946400"/>
            <wp:effectExtent l="0" t="0" r="0" b="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37FA8D2B">
      <w:pPr>
        <w:spacing w:before="120" w:after="0" w:line="240" w:lineRule="auto"/>
        <w:ind w:firstLine="540"/>
        <w:jc w:val="both"/>
        <w:rPr>
          <w:rFonts w:ascii="Times New Roman" w:hAnsi="Times New Roman" w:eastAsia="Times New Roman" w:cs="Times New Roman"/>
          <w:i/>
          <w:sz w:val="28"/>
        </w:rPr>
      </w:pPr>
      <w:r>
        <w:rPr>
          <w:rFonts w:ascii="Times New Roman" w:hAnsi="Times New Roman" w:eastAsia="Times New Roman" w:cs="Times New Roman"/>
          <w:i/>
          <w:sz w:val="28"/>
        </w:rPr>
        <w:t>d) Kết quả thực hiện các chính sách hỗ trợ phát triển liên kết:</w:t>
      </w:r>
    </w:p>
    <w:p w14:paraId="22066A89">
      <w:pPr>
        <w:spacing w:before="120" w:after="0" w:line="240" w:lineRule="auto"/>
        <w:ind w:firstLine="540"/>
        <w:jc w:val="both"/>
        <w:rPr>
          <w:rFonts w:ascii="Times New Roman" w:hAnsi="Times New Roman" w:eastAsia="Times New Roman" w:cs="Times New Roman"/>
          <w:color w:val="000000"/>
          <w:sz w:val="28"/>
        </w:rPr>
      </w:pPr>
      <w:r>
        <w:rPr>
          <w:rFonts w:ascii="Times New Roman" w:hAnsi="Times New Roman" w:eastAsia="Times New Roman" w:cs="Times New Roman"/>
          <w:color w:val="000000"/>
          <w:sz w:val="28"/>
        </w:rPr>
        <w:t>Cả trung ương và các địa phương đã bố trí 15.243 tỷ đồng để hỗ trợ thực hiện các dự án, kế hoạch liên kết theo Nghị định 98, trong đó NSNN hỗ trợ 3.186 tỷ đồng (chiếm 20,9%), còn lại 79,1% kinh phí dự án, kế hoạch do các doanh nghiệp, HTX và người dân đối ứng. Như vậy, bình quân kinh phí của 01 dự án, kế hoạch liên kết được duyệt là 5,188 tỷ đồng; trong đó NSNN hỗ trợ 1,085 tỷ đồng.</w:t>
      </w:r>
    </w:p>
    <w:p w14:paraId="6B31E149">
      <w:pPr>
        <w:spacing w:before="120" w:after="0" w:line="240" w:lineRule="auto"/>
        <w:ind w:firstLine="540"/>
        <w:jc w:val="both"/>
        <w:rPr>
          <w:rFonts w:ascii="Times New Roman" w:hAnsi="Times New Roman" w:eastAsia="Times New Roman" w:cs="Times New Roman"/>
          <w:color w:val="000000"/>
          <w:sz w:val="28"/>
        </w:rPr>
      </w:pPr>
      <w:r>
        <w:rPr>
          <w:rFonts w:ascii="Times New Roman" w:hAnsi="Times New Roman" w:eastAsia="Times New Roman" w:cs="Times New Roman"/>
          <w:color w:val="000000"/>
          <w:sz w:val="28"/>
        </w:rPr>
        <w:t>Nhìn chung, quy mô hỗ trợ từ NSNN cho các dự án/kế hoạch liên kết khá nhỏ. Tỉnh Tiền Giang trước kia (nay là tỉnh Đồng Tháp), tổng kinh phí NSNN phê duyệt hỗ trợ cho 21 dự án/kế hoạch liên kết là 14,1 tỷ đồng. Số tiền hỗ trợ trung bình cho một dự án liên kết là 800 triệu đồng, cho một kế hoạch liên kết là 555 triệu đồng. Trung bình NSNN hỗ trợ cho 1 dự án/kế hoạch liên kết ở Tiền Giang chiếm 20,5% tổng kinh phí của 1 dự án (đối ứng các tác nhân trong dự án là 79,5%) trong đó NSNN hỗ trợ cho dự án khoảng 19,8% và kế hoạch khoảng 21,5%. Các kế hoạch liên kết tại tỉnh Đồng Tháp có kinh phí hỗ trợ từ NSNN chiếm 35,6% tổng kinh phí dự án liên kết (từ 33,2 đến 42,1%). Tại Trà Vinh trước kia (nay là tỉnh Vĩnh Long), mức hỗ trợ kinh phí từ NSNN rất nhỏ, trung bình chỉ có 395 triệu đồng/dự án kế hoạch liên kết và chỉ đóng góp khoảng 1,1% tổng kinh phí của dự án liên kết.</w:t>
      </w:r>
    </w:p>
    <w:p w14:paraId="739C8D5A">
      <w:pPr>
        <w:spacing w:before="120" w:after="0" w:line="240" w:lineRule="auto"/>
        <w:jc w:val="center"/>
        <w:rPr>
          <w:rFonts w:ascii="Times New Roman" w:hAnsi="Times New Roman" w:eastAsia="Times New Roman" w:cs="Times New Roman"/>
          <w:b/>
          <w:sz w:val="28"/>
        </w:rPr>
      </w:pPr>
      <w:bookmarkStart w:id="2" w:name="_Toc151669626"/>
      <w:r>
        <w:rPr>
          <w:rFonts w:ascii="Times New Roman" w:hAnsi="Times New Roman" w:eastAsia="Times New Roman" w:cs="Times New Roman"/>
          <w:b/>
          <w:sz w:val="28"/>
        </w:rPr>
        <w:t>Bảng 1. NSNN hỗ trợ dự án, kế hoạch liên kết được phê duyệt theo Nghị định 98 thông qua các chủ trì liên kết</w:t>
      </w:r>
      <w:bookmarkEnd w:id="2"/>
    </w:p>
    <w:tbl>
      <w:tblPr>
        <w:tblStyle w:val="6"/>
        <w:tblW w:w="93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7"/>
        <w:gridCol w:w="1953"/>
        <w:gridCol w:w="1944"/>
        <w:gridCol w:w="1399"/>
        <w:gridCol w:w="1751"/>
        <w:gridCol w:w="1574"/>
      </w:tblGrid>
      <w:tr w14:paraId="5F1CA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727" w:type="dxa"/>
            <w:vMerge w:val="restart"/>
            <w:shd w:val="clear" w:color="auto" w:fill="auto"/>
            <w:noWrap/>
            <w:vAlign w:val="center"/>
          </w:tcPr>
          <w:p w14:paraId="57E79BD2">
            <w:pPr>
              <w:spacing w:before="60" w:after="60" w:line="240" w:lineRule="auto"/>
              <w:jc w:val="center"/>
              <w:rPr>
                <w:rFonts w:ascii="Times New Roman" w:hAnsi="Times New Roman" w:eastAsia="Times New Roman" w:cs="Times New Roman"/>
                <w:color w:val="0D0D0D"/>
                <w:sz w:val="28"/>
                <w:szCs w:val="26"/>
              </w:rPr>
            </w:pPr>
            <w:r>
              <w:rPr>
                <w:rFonts w:ascii="Times New Roman" w:hAnsi="Times New Roman" w:eastAsia="Times New Roman" w:cs="Times New Roman"/>
                <w:color w:val="0D0D0D"/>
                <w:sz w:val="28"/>
                <w:szCs w:val="26"/>
              </w:rPr>
              <w:t>TT</w:t>
            </w:r>
          </w:p>
        </w:tc>
        <w:tc>
          <w:tcPr>
            <w:tcW w:w="1953" w:type="dxa"/>
            <w:vMerge w:val="restart"/>
            <w:shd w:val="clear" w:color="FFFFFF" w:fill="FFFFFF"/>
            <w:vAlign w:val="center"/>
          </w:tcPr>
          <w:p w14:paraId="6B51B74E">
            <w:pPr>
              <w:spacing w:before="60" w:after="60" w:line="240" w:lineRule="auto"/>
              <w:jc w:val="center"/>
              <w:rPr>
                <w:rFonts w:ascii="Times New Roman" w:hAnsi="Times New Roman" w:eastAsia="Times New Roman" w:cs="Times New Roman"/>
                <w:color w:val="0D0D0D"/>
                <w:sz w:val="28"/>
                <w:szCs w:val="26"/>
              </w:rPr>
            </w:pPr>
            <w:r>
              <w:rPr>
                <w:rFonts w:ascii="Times New Roman" w:hAnsi="Times New Roman" w:eastAsia="Times New Roman" w:cs="Times New Roman"/>
                <w:color w:val="0D0D0D"/>
                <w:sz w:val="28"/>
                <w:szCs w:val="26"/>
              </w:rPr>
              <w:t>Chủ trì liên kết</w:t>
            </w:r>
          </w:p>
        </w:tc>
        <w:tc>
          <w:tcPr>
            <w:tcW w:w="3343" w:type="dxa"/>
            <w:gridSpan w:val="2"/>
            <w:shd w:val="clear" w:color="auto" w:fill="auto"/>
            <w:vAlign w:val="center"/>
          </w:tcPr>
          <w:p w14:paraId="38F21A61">
            <w:pPr>
              <w:spacing w:before="60" w:after="60" w:line="240" w:lineRule="auto"/>
              <w:jc w:val="center"/>
              <w:rPr>
                <w:rFonts w:ascii="Times New Roman" w:hAnsi="Times New Roman" w:eastAsia="Times New Roman" w:cs="Times New Roman"/>
                <w:color w:val="0D0D0D"/>
                <w:sz w:val="28"/>
                <w:szCs w:val="26"/>
              </w:rPr>
            </w:pPr>
            <w:r>
              <w:rPr>
                <w:rFonts w:ascii="Times New Roman" w:hAnsi="Times New Roman" w:eastAsia="Times New Roman" w:cs="Times New Roman"/>
                <w:color w:val="0D0D0D"/>
                <w:sz w:val="28"/>
                <w:szCs w:val="26"/>
              </w:rPr>
              <w:t>NSNN hỗ trợ</w:t>
            </w:r>
          </w:p>
        </w:tc>
        <w:tc>
          <w:tcPr>
            <w:tcW w:w="3325" w:type="dxa"/>
            <w:gridSpan w:val="2"/>
            <w:shd w:val="clear" w:color="auto" w:fill="auto"/>
            <w:vAlign w:val="center"/>
          </w:tcPr>
          <w:p w14:paraId="3AEADC92">
            <w:pPr>
              <w:spacing w:before="60" w:after="60" w:line="240" w:lineRule="auto"/>
              <w:jc w:val="center"/>
              <w:rPr>
                <w:rFonts w:ascii="Times New Roman" w:hAnsi="Times New Roman" w:eastAsia="Times New Roman" w:cs="Times New Roman"/>
                <w:color w:val="0D0D0D"/>
                <w:sz w:val="28"/>
                <w:szCs w:val="26"/>
              </w:rPr>
            </w:pPr>
            <w:r>
              <w:rPr>
                <w:rFonts w:ascii="Times New Roman" w:hAnsi="Times New Roman" w:eastAsia="Times New Roman" w:cs="Times New Roman"/>
                <w:color w:val="0D0D0D"/>
                <w:sz w:val="28"/>
                <w:szCs w:val="26"/>
              </w:rPr>
              <w:t>Chủ trì liên kết</w:t>
            </w:r>
          </w:p>
        </w:tc>
      </w:tr>
      <w:tr w14:paraId="31626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727" w:type="dxa"/>
            <w:vMerge w:val="continue"/>
            <w:shd w:val="clear" w:color="auto" w:fill="auto"/>
            <w:noWrap/>
            <w:vAlign w:val="center"/>
          </w:tcPr>
          <w:p w14:paraId="68F2FAA4">
            <w:pPr>
              <w:spacing w:before="60" w:after="60" w:line="240" w:lineRule="auto"/>
              <w:rPr>
                <w:rFonts w:ascii="Times New Roman" w:hAnsi="Times New Roman" w:eastAsia="Times New Roman" w:cs="Times New Roman"/>
                <w:b/>
                <w:color w:val="0D0D0D"/>
                <w:sz w:val="28"/>
                <w:szCs w:val="26"/>
              </w:rPr>
            </w:pPr>
          </w:p>
        </w:tc>
        <w:tc>
          <w:tcPr>
            <w:tcW w:w="1953" w:type="dxa"/>
            <w:vMerge w:val="continue"/>
            <w:shd w:val="clear" w:color="FFFFFF" w:fill="FFFFFF"/>
            <w:vAlign w:val="center"/>
          </w:tcPr>
          <w:p w14:paraId="4C865944">
            <w:pPr>
              <w:spacing w:before="60" w:after="60" w:line="240" w:lineRule="auto"/>
              <w:jc w:val="center"/>
              <w:rPr>
                <w:rFonts w:ascii="Times New Roman" w:hAnsi="Times New Roman" w:eastAsia="Times New Roman" w:cs="Times New Roman"/>
                <w:b/>
                <w:color w:val="0D0D0D"/>
                <w:sz w:val="28"/>
                <w:szCs w:val="26"/>
              </w:rPr>
            </w:pPr>
          </w:p>
        </w:tc>
        <w:tc>
          <w:tcPr>
            <w:tcW w:w="1944" w:type="dxa"/>
            <w:shd w:val="clear" w:color="auto" w:fill="auto"/>
            <w:vAlign w:val="center"/>
          </w:tcPr>
          <w:p w14:paraId="591B70ED">
            <w:pPr>
              <w:spacing w:before="60" w:after="60" w:line="240" w:lineRule="auto"/>
              <w:jc w:val="center"/>
              <w:rPr>
                <w:rFonts w:ascii="Times New Roman" w:hAnsi="Times New Roman" w:eastAsia="Times New Roman" w:cs="Times New Roman"/>
                <w:color w:val="0D0D0D"/>
                <w:sz w:val="28"/>
                <w:szCs w:val="26"/>
              </w:rPr>
            </w:pPr>
            <w:r>
              <w:rPr>
                <w:rFonts w:ascii="Times New Roman" w:hAnsi="Times New Roman" w:eastAsia="Times New Roman" w:cs="Times New Roman"/>
                <w:color w:val="0D0D0D"/>
                <w:sz w:val="28"/>
                <w:szCs w:val="26"/>
              </w:rPr>
              <w:t>Số lượng</w:t>
            </w:r>
          </w:p>
          <w:p w14:paraId="0CC80B2B">
            <w:pPr>
              <w:spacing w:before="60" w:after="60" w:line="240" w:lineRule="auto"/>
              <w:jc w:val="center"/>
              <w:rPr>
                <w:rFonts w:ascii="Times New Roman" w:hAnsi="Times New Roman" w:eastAsia="Times New Roman" w:cs="Times New Roman"/>
                <w:i/>
                <w:color w:val="0D0D0D"/>
                <w:sz w:val="28"/>
                <w:szCs w:val="26"/>
              </w:rPr>
            </w:pPr>
            <w:r>
              <w:rPr>
                <w:rFonts w:ascii="Times New Roman" w:hAnsi="Times New Roman" w:eastAsia="Times New Roman" w:cs="Times New Roman"/>
                <w:i/>
                <w:color w:val="0D0D0D"/>
                <w:sz w:val="28"/>
                <w:szCs w:val="26"/>
              </w:rPr>
              <w:t>(Tỷ đồng)</w:t>
            </w:r>
          </w:p>
        </w:tc>
        <w:tc>
          <w:tcPr>
            <w:tcW w:w="1399" w:type="dxa"/>
            <w:shd w:val="clear" w:color="auto" w:fill="auto"/>
            <w:vAlign w:val="center"/>
          </w:tcPr>
          <w:p w14:paraId="716126A4">
            <w:pPr>
              <w:spacing w:before="60" w:after="60" w:line="240" w:lineRule="auto"/>
              <w:jc w:val="center"/>
              <w:rPr>
                <w:rFonts w:ascii="Times New Roman" w:hAnsi="Times New Roman" w:eastAsia="Times New Roman" w:cs="Times New Roman"/>
                <w:color w:val="0D0D0D"/>
                <w:sz w:val="28"/>
                <w:szCs w:val="26"/>
              </w:rPr>
            </w:pPr>
            <w:r>
              <w:rPr>
                <w:rFonts w:ascii="Times New Roman" w:hAnsi="Times New Roman" w:eastAsia="Times New Roman" w:cs="Times New Roman"/>
                <w:color w:val="0D0D0D"/>
                <w:sz w:val="28"/>
                <w:szCs w:val="26"/>
              </w:rPr>
              <w:t xml:space="preserve">Cơ cấu </w:t>
            </w:r>
          </w:p>
          <w:p w14:paraId="3714605C">
            <w:pPr>
              <w:spacing w:before="60" w:after="60" w:line="240" w:lineRule="auto"/>
              <w:jc w:val="center"/>
              <w:rPr>
                <w:rFonts w:ascii="Times New Roman" w:hAnsi="Times New Roman" w:eastAsia="Times New Roman" w:cs="Times New Roman"/>
                <w:color w:val="0D0D0D"/>
                <w:sz w:val="28"/>
                <w:szCs w:val="26"/>
              </w:rPr>
            </w:pPr>
            <w:r>
              <w:rPr>
                <w:rFonts w:ascii="Times New Roman" w:hAnsi="Times New Roman" w:eastAsia="Times New Roman" w:cs="Times New Roman"/>
                <w:i/>
                <w:color w:val="0D0D0D"/>
                <w:sz w:val="28"/>
                <w:szCs w:val="26"/>
              </w:rPr>
              <w:t>(%)</w:t>
            </w:r>
          </w:p>
        </w:tc>
        <w:tc>
          <w:tcPr>
            <w:tcW w:w="1751" w:type="dxa"/>
            <w:shd w:val="clear" w:color="auto" w:fill="auto"/>
            <w:vAlign w:val="center"/>
          </w:tcPr>
          <w:p w14:paraId="23C169CA">
            <w:pPr>
              <w:spacing w:before="60" w:after="60" w:line="240" w:lineRule="auto"/>
              <w:jc w:val="center"/>
              <w:rPr>
                <w:rFonts w:ascii="Times New Roman" w:hAnsi="Times New Roman" w:eastAsia="Times New Roman" w:cs="Times New Roman"/>
                <w:color w:val="0D0D0D"/>
                <w:sz w:val="28"/>
                <w:szCs w:val="26"/>
              </w:rPr>
            </w:pPr>
            <w:r>
              <w:rPr>
                <w:rFonts w:ascii="Times New Roman" w:hAnsi="Times New Roman" w:eastAsia="Times New Roman" w:cs="Times New Roman"/>
                <w:color w:val="0D0D0D"/>
                <w:sz w:val="28"/>
                <w:szCs w:val="26"/>
              </w:rPr>
              <w:t>Số lượng</w:t>
            </w:r>
          </w:p>
          <w:p w14:paraId="4E041EFB">
            <w:pPr>
              <w:spacing w:before="60" w:after="60" w:line="240" w:lineRule="auto"/>
              <w:jc w:val="center"/>
              <w:rPr>
                <w:rFonts w:ascii="Times New Roman" w:hAnsi="Times New Roman" w:eastAsia="Times New Roman" w:cs="Times New Roman"/>
                <w:i/>
                <w:color w:val="0D0D0D"/>
                <w:sz w:val="28"/>
                <w:szCs w:val="26"/>
              </w:rPr>
            </w:pPr>
            <w:r>
              <w:rPr>
                <w:rFonts w:ascii="Times New Roman" w:hAnsi="Times New Roman" w:eastAsia="Times New Roman" w:cs="Times New Roman"/>
                <w:i/>
                <w:color w:val="0D0D0D"/>
                <w:sz w:val="28"/>
                <w:szCs w:val="26"/>
              </w:rPr>
              <w:t>(DN, HTX)</w:t>
            </w:r>
          </w:p>
        </w:tc>
        <w:tc>
          <w:tcPr>
            <w:tcW w:w="1574" w:type="dxa"/>
            <w:shd w:val="clear" w:color="auto" w:fill="auto"/>
            <w:vAlign w:val="center"/>
          </w:tcPr>
          <w:p w14:paraId="0F2570A8">
            <w:pPr>
              <w:spacing w:before="60" w:after="60" w:line="240" w:lineRule="auto"/>
              <w:jc w:val="center"/>
              <w:rPr>
                <w:rFonts w:ascii="Times New Roman" w:hAnsi="Times New Roman" w:eastAsia="Times New Roman" w:cs="Times New Roman"/>
                <w:color w:val="0D0D0D"/>
                <w:sz w:val="28"/>
                <w:szCs w:val="26"/>
              </w:rPr>
            </w:pPr>
            <w:r>
              <w:rPr>
                <w:rFonts w:ascii="Times New Roman" w:hAnsi="Times New Roman" w:eastAsia="Times New Roman" w:cs="Times New Roman"/>
                <w:color w:val="0D0D0D"/>
                <w:sz w:val="28"/>
                <w:szCs w:val="26"/>
              </w:rPr>
              <w:t xml:space="preserve">Cơ cấu </w:t>
            </w:r>
          </w:p>
          <w:p w14:paraId="2A5F9EF8">
            <w:pPr>
              <w:spacing w:before="60" w:after="60" w:line="240" w:lineRule="auto"/>
              <w:jc w:val="center"/>
              <w:rPr>
                <w:rFonts w:ascii="Times New Roman" w:hAnsi="Times New Roman" w:eastAsia="Times New Roman" w:cs="Times New Roman"/>
                <w:color w:val="0D0D0D"/>
                <w:sz w:val="28"/>
                <w:szCs w:val="26"/>
              </w:rPr>
            </w:pPr>
            <w:r>
              <w:rPr>
                <w:rFonts w:ascii="Times New Roman" w:hAnsi="Times New Roman" w:eastAsia="Times New Roman" w:cs="Times New Roman"/>
                <w:i/>
                <w:color w:val="0D0D0D"/>
                <w:sz w:val="28"/>
                <w:szCs w:val="26"/>
              </w:rPr>
              <w:t>(%)</w:t>
            </w:r>
          </w:p>
        </w:tc>
      </w:tr>
      <w:tr w14:paraId="4DBE9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727" w:type="dxa"/>
            <w:shd w:val="clear" w:color="auto" w:fill="auto"/>
            <w:noWrap/>
            <w:vAlign w:val="center"/>
          </w:tcPr>
          <w:p w14:paraId="26A0D1D8">
            <w:pPr>
              <w:spacing w:before="60" w:after="60" w:line="240" w:lineRule="auto"/>
              <w:jc w:val="center"/>
              <w:rPr>
                <w:rFonts w:ascii="Times New Roman" w:hAnsi="Times New Roman" w:eastAsia="Times New Roman" w:cs="Times New Roman"/>
                <w:color w:val="0D0D0D"/>
                <w:sz w:val="28"/>
                <w:szCs w:val="26"/>
              </w:rPr>
            </w:pPr>
            <w:r>
              <w:rPr>
                <w:rFonts w:ascii="Times New Roman" w:hAnsi="Times New Roman" w:eastAsia="Times New Roman" w:cs="Times New Roman"/>
                <w:color w:val="0D0D0D"/>
                <w:sz w:val="28"/>
                <w:szCs w:val="26"/>
              </w:rPr>
              <w:t>1</w:t>
            </w:r>
          </w:p>
        </w:tc>
        <w:tc>
          <w:tcPr>
            <w:tcW w:w="1953" w:type="dxa"/>
            <w:shd w:val="clear" w:color="FFFFFF" w:fill="FFFFFF"/>
            <w:noWrap/>
            <w:vAlign w:val="center"/>
          </w:tcPr>
          <w:p w14:paraId="029F1547">
            <w:pPr>
              <w:spacing w:before="60" w:after="60" w:line="240" w:lineRule="auto"/>
              <w:rPr>
                <w:rFonts w:ascii="Times New Roman" w:hAnsi="Times New Roman" w:eastAsia="Times New Roman" w:cs="Times New Roman"/>
                <w:color w:val="0D0D0D"/>
                <w:sz w:val="28"/>
                <w:szCs w:val="26"/>
              </w:rPr>
            </w:pPr>
            <w:r>
              <w:rPr>
                <w:rFonts w:ascii="Times New Roman" w:hAnsi="Times New Roman" w:eastAsia="Times New Roman" w:cs="Times New Roman"/>
                <w:color w:val="0D0D0D"/>
                <w:sz w:val="28"/>
                <w:szCs w:val="26"/>
              </w:rPr>
              <w:t>Doanh nghiệp</w:t>
            </w:r>
          </w:p>
        </w:tc>
        <w:tc>
          <w:tcPr>
            <w:tcW w:w="1944" w:type="dxa"/>
            <w:shd w:val="clear" w:color="auto" w:fill="auto"/>
            <w:noWrap/>
            <w:vAlign w:val="bottom"/>
          </w:tcPr>
          <w:p w14:paraId="2BFFF50C">
            <w:pPr>
              <w:spacing w:before="60" w:after="60" w:line="240" w:lineRule="auto"/>
              <w:jc w:val="center"/>
              <w:rPr>
                <w:rFonts w:ascii="Times New Roman" w:hAnsi="Times New Roman" w:eastAsia="Times New Roman" w:cs="Times New Roman"/>
                <w:sz w:val="26"/>
                <w:szCs w:val="26"/>
              </w:rPr>
            </w:pPr>
            <w:r>
              <w:rPr>
                <w:rFonts w:ascii="Times New Roman" w:hAnsi="Times New Roman" w:cs="Times New Roman"/>
                <w:sz w:val="26"/>
                <w:szCs w:val="26"/>
              </w:rPr>
              <w:t>857.142</w:t>
            </w:r>
          </w:p>
        </w:tc>
        <w:tc>
          <w:tcPr>
            <w:tcW w:w="1399" w:type="dxa"/>
            <w:shd w:val="clear" w:color="auto" w:fill="auto"/>
            <w:noWrap/>
            <w:vAlign w:val="bottom"/>
          </w:tcPr>
          <w:p w14:paraId="1568A64E">
            <w:pPr>
              <w:spacing w:before="60" w:after="60" w:line="240" w:lineRule="auto"/>
              <w:jc w:val="center"/>
              <w:rPr>
                <w:rFonts w:ascii="Times New Roman" w:hAnsi="Times New Roman" w:eastAsia="Calibri" w:cs="Times New Roman"/>
                <w:color w:val="0D0D0D"/>
                <w:sz w:val="26"/>
                <w:szCs w:val="26"/>
              </w:rPr>
            </w:pPr>
            <w:r>
              <w:rPr>
                <w:rFonts w:ascii="Times New Roman" w:hAnsi="Times New Roman" w:cs="Times New Roman"/>
                <w:color w:val="000000"/>
                <w:sz w:val="26"/>
                <w:szCs w:val="26"/>
              </w:rPr>
              <w:t>26,9</w:t>
            </w:r>
          </w:p>
        </w:tc>
        <w:tc>
          <w:tcPr>
            <w:tcW w:w="1751" w:type="dxa"/>
            <w:shd w:val="clear" w:color="auto" w:fill="auto"/>
            <w:noWrap/>
            <w:vAlign w:val="bottom"/>
          </w:tcPr>
          <w:p w14:paraId="6AC0B9C0">
            <w:pPr>
              <w:spacing w:before="60" w:after="60" w:line="240" w:lineRule="auto"/>
              <w:jc w:val="center"/>
              <w:rPr>
                <w:rFonts w:ascii="Times New Roman" w:hAnsi="Times New Roman" w:eastAsia="Calibri" w:cs="Times New Roman"/>
                <w:color w:val="0D0D0D"/>
                <w:sz w:val="26"/>
                <w:szCs w:val="26"/>
              </w:rPr>
            </w:pPr>
            <w:r>
              <w:rPr>
                <w:rFonts w:ascii="Times New Roman" w:hAnsi="Times New Roman" w:cs="Times New Roman"/>
                <w:color w:val="000000"/>
                <w:sz w:val="26"/>
                <w:szCs w:val="26"/>
              </w:rPr>
              <w:t>607</w:t>
            </w:r>
          </w:p>
        </w:tc>
        <w:tc>
          <w:tcPr>
            <w:tcW w:w="1574" w:type="dxa"/>
            <w:shd w:val="clear" w:color="auto" w:fill="auto"/>
            <w:noWrap/>
            <w:vAlign w:val="bottom"/>
          </w:tcPr>
          <w:p w14:paraId="7EA2FC86">
            <w:pPr>
              <w:spacing w:before="60" w:after="60" w:line="240" w:lineRule="auto"/>
              <w:jc w:val="center"/>
              <w:rPr>
                <w:rFonts w:ascii="Times New Roman" w:hAnsi="Times New Roman" w:eastAsia="Calibri" w:cs="Times New Roman"/>
                <w:color w:val="0D0D0D"/>
                <w:sz w:val="26"/>
                <w:szCs w:val="26"/>
              </w:rPr>
            </w:pPr>
            <w:r>
              <w:rPr>
                <w:rFonts w:ascii="Times New Roman" w:hAnsi="Times New Roman" w:cs="Times New Roman"/>
                <w:color w:val="000000"/>
                <w:sz w:val="26"/>
                <w:szCs w:val="26"/>
              </w:rPr>
              <w:t>20,7</w:t>
            </w:r>
          </w:p>
        </w:tc>
      </w:tr>
      <w:tr w14:paraId="5BD01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727" w:type="dxa"/>
            <w:shd w:val="clear" w:color="auto" w:fill="auto"/>
            <w:noWrap/>
            <w:vAlign w:val="center"/>
          </w:tcPr>
          <w:p w14:paraId="22E46A3C">
            <w:pPr>
              <w:spacing w:before="60" w:after="60" w:line="240" w:lineRule="auto"/>
              <w:jc w:val="center"/>
              <w:rPr>
                <w:rFonts w:ascii="Times New Roman" w:hAnsi="Times New Roman" w:eastAsia="Times New Roman" w:cs="Times New Roman"/>
                <w:color w:val="0D0D0D"/>
                <w:sz w:val="28"/>
                <w:szCs w:val="26"/>
              </w:rPr>
            </w:pPr>
            <w:r>
              <w:rPr>
                <w:rFonts w:ascii="Times New Roman" w:hAnsi="Times New Roman" w:eastAsia="Times New Roman" w:cs="Times New Roman"/>
                <w:color w:val="0D0D0D"/>
                <w:sz w:val="28"/>
                <w:szCs w:val="26"/>
              </w:rPr>
              <w:t>2</w:t>
            </w:r>
          </w:p>
        </w:tc>
        <w:tc>
          <w:tcPr>
            <w:tcW w:w="1953" w:type="dxa"/>
            <w:shd w:val="clear" w:color="FFFFFF" w:fill="FFFFFF"/>
            <w:noWrap/>
            <w:vAlign w:val="center"/>
          </w:tcPr>
          <w:p w14:paraId="2FCC367F">
            <w:pPr>
              <w:spacing w:before="60" w:after="60" w:line="240" w:lineRule="auto"/>
              <w:rPr>
                <w:rFonts w:ascii="Times New Roman" w:hAnsi="Times New Roman" w:eastAsia="Times New Roman" w:cs="Times New Roman"/>
                <w:color w:val="0D0D0D"/>
                <w:sz w:val="28"/>
                <w:szCs w:val="26"/>
              </w:rPr>
            </w:pPr>
            <w:r>
              <w:rPr>
                <w:rFonts w:ascii="Times New Roman" w:hAnsi="Times New Roman" w:eastAsia="Times New Roman" w:cs="Times New Roman"/>
                <w:color w:val="0D0D0D"/>
                <w:sz w:val="28"/>
                <w:szCs w:val="26"/>
              </w:rPr>
              <w:t>Hợp tác xã</w:t>
            </w:r>
          </w:p>
        </w:tc>
        <w:tc>
          <w:tcPr>
            <w:tcW w:w="1944" w:type="dxa"/>
            <w:shd w:val="clear" w:color="auto" w:fill="auto"/>
            <w:noWrap/>
            <w:vAlign w:val="bottom"/>
          </w:tcPr>
          <w:p w14:paraId="4853708A">
            <w:pPr>
              <w:spacing w:before="60" w:after="60" w:line="240" w:lineRule="auto"/>
              <w:jc w:val="center"/>
              <w:rPr>
                <w:rFonts w:ascii="Times New Roman" w:hAnsi="Times New Roman" w:eastAsia="Calibri" w:cs="Times New Roman"/>
                <w:sz w:val="26"/>
                <w:szCs w:val="26"/>
              </w:rPr>
            </w:pPr>
            <w:r>
              <w:rPr>
                <w:rFonts w:ascii="Times New Roman" w:hAnsi="Times New Roman" w:cs="Times New Roman"/>
                <w:sz w:val="26"/>
                <w:szCs w:val="26"/>
              </w:rPr>
              <w:t>2.329.259</w:t>
            </w:r>
          </w:p>
        </w:tc>
        <w:tc>
          <w:tcPr>
            <w:tcW w:w="1399" w:type="dxa"/>
            <w:shd w:val="clear" w:color="auto" w:fill="auto"/>
            <w:noWrap/>
            <w:vAlign w:val="bottom"/>
          </w:tcPr>
          <w:p w14:paraId="44114622">
            <w:pPr>
              <w:spacing w:before="60" w:after="60" w:line="240" w:lineRule="auto"/>
              <w:jc w:val="center"/>
              <w:rPr>
                <w:rFonts w:ascii="Times New Roman" w:hAnsi="Times New Roman" w:eastAsia="Calibri" w:cs="Times New Roman"/>
                <w:color w:val="0D0D0D"/>
                <w:sz w:val="26"/>
                <w:szCs w:val="26"/>
              </w:rPr>
            </w:pPr>
            <w:r>
              <w:rPr>
                <w:rFonts w:ascii="Times New Roman" w:hAnsi="Times New Roman" w:cs="Times New Roman"/>
                <w:color w:val="000000"/>
                <w:sz w:val="26"/>
                <w:szCs w:val="26"/>
              </w:rPr>
              <w:t>73,1</w:t>
            </w:r>
          </w:p>
        </w:tc>
        <w:tc>
          <w:tcPr>
            <w:tcW w:w="1751" w:type="dxa"/>
            <w:shd w:val="clear" w:color="auto" w:fill="auto"/>
            <w:noWrap/>
            <w:vAlign w:val="bottom"/>
          </w:tcPr>
          <w:p w14:paraId="65BC64AF">
            <w:pPr>
              <w:spacing w:before="60" w:after="60" w:line="240" w:lineRule="auto"/>
              <w:jc w:val="center"/>
              <w:rPr>
                <w:rFonts w:ascii="Times New Roman" w:hAnsi="Times New Roman" w:eastAsia="Calibri" w:cs="Times New Roman"/>
                <w:color w:val="0D0D0D"/>
                <w:sz w:val="26"/>
                <w:szCs w:val="26"/>
              </w:rPr>
            </w:pPr>
            <w:r>
              <w:rPr>
                <w:rFonts w:ascii="Times New Roman" w:hAnsi="Times New Roman" w:cs="Times New Roman"/>
                <w:color w:val="000000"/>
                <w:sz w:val="26"/>
                <w:szCs w:val="26"/>
              </w:rPr>
              <w:t>2.331</w:t>
            </w:r>
          </w:p>
        </w:tc>
        <w:tc>
          <w:tcPr>
            <w:tcW w:w="1574" w:type="dxa"/>
            <w:shd w:val="clear" w:color="auto" w:fill="auto"/>
            <w:noWrap/>
            <w:vAlign w:val="bottom"/>
          </w:tcPr>
          <w:p w14:paraId="076F81B8">
            <w:pPr>
              <w:spacing w:before="60" w:after="60" w:line="240" w:lineRule="auto"/>
              <w:jc w:val="center"/>
              <w:rPr>
                <w:rFonts w:ascii="Times New Roman" w:hAnsi="Times New Roman" w:eastAsia="Calibri" w:cs="Times New Roman"/>
                <w:color w:val="0D0D0D"/>
                <w:sz w:val="26"/>
                <w:szCs w:val="26"/>
              </w:rPr>
            </w:pPr>
            <w:r>
              <w:rPr>
                <w:rFonts w:ascii="Times New Roman" w:hAnsi="Times New Roman" w:cs="Times New Roman"/>
                <w:color w:val="000000"/>
                <w:sz w:val="26"/>
                <w:szCs w:val="26"/>
              </w:rPr>
              <w:t>79,3</w:t>
            </w:r>
          </w:p>
        </w:tc>
      </w:tr>
      <w:tr w14:paraId="4B955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727" w:type="dxa"/>
            <w:shd w:val="clear" w:color="auto" w:fill="auto"/>
            <w:noWrap/>
            <w:vAlign w:val="center"/>
          </w:tcPr>
          <w:p w14:paraId="584730B9">
            <w:pPr>
              <w:spacing w:before="60" w:after="60" w:line="240" w:lineRule="auto"/>
              <w:jc w:val="center"/>
              <w:rPr>
                <w:rFonts w:ascii="Times New Roman" w:hAnsi="Times New Roman" w:eastAsia="Times New Roman" w:cs="Times New Roman"/>
                <w:b/>
                <w:bCs/>
                <w:color w:val="0D0D0D"/>
                <w:sz w:val="28"/>
                <w:szCs w:val="26"/>
              </w:rPr>
            </w:pPr>
          </w:p>
        </w:tc>
        <w:tc>
          <w:tcPr>
            <w:tcW w:w="1953" w:type="dxa"/>
            <w:shd w:val="clear" w:color="FFFFFF" w:fill="FFFFFF"/>
            <w:noWrap/>
            <w:vAlign w:val="center"/>
          </w:tcPr>
          <w:p w14:paraId="3E2507D8">
            <w:pPr>
              <w:spacing w:before="60" w:after="60" w:line="240" w:lineRule="auto"/>
              <w:rPr>
                <w:rFonts w:ascii="Times New Roman" w:hAnsi="Times New Roman" w:eastAsia="Times New Roman" w:cs="Times New Roman"/>
                <w:b/>
                <w:bCs/>
                <w:color w:val="0D0D0D"/>
                <w:sz w:val="28"/>
                <w:szCs w:val="26"/>
              </w:rPr>
            </w:pPr>
            <w:r>
              <w:rPr>
                <w:rFonts w:ascii="Times New Roman" w:hAnsi="Times New Roman" w:eastAsia="Times New Roman" w:cs="Times New Roman"/>
                <w:b/>
                <w:bCs/>
                <w:color w:val="0D0D0D"/>
                <w:sz w:val="28"/>
                <w:szCs w:val="26"/>
              </w:rPr>
              <w:t>Tổng</w:t>
            </w:r>
          </w:p>
        </w:tc>
        <w:tc>
          <w:tcPr>
            <w:tcW w:w="1944" w:type="dxa"/>
            <w:shd w:val="clear" w:color="auto" w:fill="auto"/>
            <w:noWrap/>
            <w:vAlign w:val="bottom"/>
          </w:tcPr>
          <w:p w14:paraId="2DAAACC1">
            <w:pPr>
              <w:spacing w:before="60" w:after="60" w:line="240" w:lineRule="auto"/>
              <w:jc w:val="center"/>
              <w:rPr>
                <w:rFonts w:ascii="Times New Roman" w:hAnsi="Times New Roman" w:eastAsia="Calibri" w:cs="Times New Roman"/>
                <w:sz w:val="26"/>
                <w:szCs w:val="26"/>
              </w:rPr>
            </w:pPr>
            <w:r>
              <w:rPr>
                <w:rFonts w:ascii="Times New Roman" w:hAnsi="Times New Roman" w:cs="Times New Roman"/>
                <w:b/>
                <w:bCs/>
                <w:sz w:val="26"/>
                <w:szCs w:val="26"/>
              </w:rPr>
              <w:t>3.186.401</w:t>
            </w:r>
          </w:p>
        </w:tc>
        <w:tc>
          <w:tcPr>
            <w:tcW w:w="1399" w:type="dxa"/>
            <w:shd w:val="clear" w:color="auto" w:fill="auto"/>
            <w:noWrap/>
            <w:vAlign w:val="bottom"/>
          </w:tcPr>
          <w:p w14:paraId="07B2464D">
            <w:pPr>
              <w:spacing w:before="60" w:after="60" w:line="240" w:lineRule="auto"/>
              <w:jc w:val="center"/>
              <w:rPr>
                <w:rFonts w:ascii="Times New Roman" w:hAnsi="Times New Roman" w:eastAsia="Calibri" w:cs="Times New Roman"/>
                <w:b/>
                <w:bCs/>
                <w:color w:val="0D0D0D"/>
                <w:sz w:val="26"/>
                <w:szCs w:val="26"/>
              </w:rPr>
            </w:pPr>
            <w:r>
              <w:rPr>
                <w:rFonts w:ascii="Times New Roman" w:hAnsi="Times New Roman" w:cs="Times New Roman"/>
                <w:b/>
                <w:bCs/>
                <w:color w:val="000000"/>
                <w:sz w:val="26"/>
                <w:szCs w:val="26"/>
              </w:rPr>
              <w:t>100,0</w:t>
            </w:r>
          </w:p>
        </w:tc>
        <w:tc>
          <w:tcPr>
            <w:tcW w:w="1751" w:type="dxa"/>
            <w:shd w:val="clear" w:color="auto" w:fill="auto"/>
            <w:noWrap/>
            <w:vAlign w:val="bottom"/>
          </w:tcPr>
          <w:p w14:paraId="5D3FB7CF">
            <w:pPr>
              <w:spacing w:before="60" w:after="60" w:line="240" w:lineRule="auto"/>
              <w:jc w:val="center"/>
              <w:rPr>
                <w:rFonts w:ascii="Times New Roman" w:hAnsi="Times New Roman" w:eastAsia="Calibri" w:cs="Times New Roman"/>
                <w:b/>
                <w:bCs/>
                <w:color w:val="0D0D0D"/>
                <w:sz w:val="26"/>
                <w:szCs w:val="26"/>
              </w:rPr>
            </w:pPr>
            <w:r>
              <w:rPr>
                <w:rFonts w:ascii="Times New Roman" w:hAnsi="Times New Roman" w:cs="Times New Roman"/>
                <w:b/>
                <w:bCs/>
                <w:color w:val="000000"/>
                <w:sz w:val="26"/>
                <w:szCs w:val="26"/>
              </w:rPr>
              <w:t>2938</w:t>
            </w:r>
          </w:p>
        </w:tc>
        <w:tc>
          <w:tcPr>
            <w:tcW w:w="1574" w:type="dxa"/>
            <w:shd w:val="clear" w:color="auto" w:fill="auto"/>
            <w:noWrap/>
            <w:vAlign w:val="bottom"/>
          </w:tcPr>
          <w:p w14:paraId="707B771C">
            <w:pPr>
              <w:spacing w:before="60" w:after="60" w:line="240" w:lineRule="auto"/>
              <w:jc w:val="center"/>
              <w:rPr>
                <w:rFonts w:ascii="Times New Roman" w:hAnsi="Times New Roman" w:eastAsia="Calibri" w:cs="Times New Roman"/>
                <w:b/>
                <w:bCs/>
                <w:color w:val="0D0D0D"/>
                <w:sz w:val="26"/>
                <w:szCs w:val="26"/>
              </w:rPr>
            </w:pPr>
            <w:r>
              <w:rPr>
                <w:rFonts w:ascii="Times New Roman" w:hAnsi="Times New Roman" w:cs="Times New Roman"/>
                <w:b/>
                <w:bCs/>
                <w:color w:val="000000"/>
                <w:sz w:val="26"/>
                <w:szCs w:val="26"/>
              </w:rPr>
              <w:t>100,0</w:t>
            </w:r>
          </w:p>
        </w:tc>
      </w:tr>
    </w:tbl>
    <w:p w14:paraId="3A561E74">
      <w:pPr>
        <w:spacing w:before="120" w:after="0" w:line="240" w:lineRule="auto"/>
        <w:ind w:firstLine="540"/>
        <w:jc w:val="both"/>
        <w:rPr>
          <w:rFonts w:ascii="Times New Roman" w:hAnsi="Times New Roman" w:eastAsia="Times New Roman" w:cs="Times New Roman"/>
          <w:color w:val="000000"/>
          <w:sz w:val="28"/>
        </w:rPr>
      </w:pPr>
      <w:r>
        <w:rPr>
          <w:rFonts w:ascii="Times New Roman" w:hAnsi="Times New Roman" w:eastAsia="Times New Roman" w:cs="Times New Roman"/>
          <w:color w:val="000000"/>
          <w:sz w:val="28"/>
        </w:rPr>
        <w:t>Ngân sách nhà nước (bao gồm cả trung ương và địa phương) hỗ trợ các dự án, kế hoạch liên kết tập trung vào 03 nhóm chính sách chủ yếu đó là: i) Tư vấn xây dựng liên kết với 115,9 tỷ đồng, chiếm 3,6%; ii) Hỗ trợ đầu tư hạ tầng, máy móc thiết bị phục vụ liên kết với 959,9 tỷ đồng, chiếm 30,1%; iii) Hỗ trợ khuyến nông, đào tạo, tập huấn và giống, vật tư, bao bì, nhãn mác với 2.110,5 tỷ đồng, chiếm 66,2%. Cụ thể kết quả thực hiện các nhóm chính sách này đến nay như sau:</w:t>
      </w:r>
    </w:p>
    <w:p w14:paraId="14DB1C37">
      <w:pPr>
        <w:spacing w:before="120" w:after="0" w:line="240" w:lineRule="auto"/>
        <w:ind w:firstLine="540"/>
        <w:jc w:val="both"/>
        <w:rPr>
          <w:rFonts w:ascii="Times New Roman" w:hAnsi="Times New Roman" w:eastAsia="Times New Roman" w:cs="Times New Roman"/>
          <w:color w:val="000000"/>
          <w:sz w:val="28"/>
        </w:rPr>
      </w:pPr>
      <w:r>
        <w:rPr>
          <w:rFonts w:ascii="Times New Roman" w:hAnsi="Times New Roman" w:eastAsia="Times New Roman" w:cs="Times New Roman"/>
          <w:i/>
          <w:color w:val="000000"/>
          <w:sz w:val="28"/>
        </w:rPr>
        <w:t>- Về hỗ trợ chi phí tư vấn xây dựng liên kết</w:t>
      </w:r>
      <w:r>
        <w:rPr>
          <w:rFonts w:ascii="Times New Roman" w:hAnsi="Times New Roman" w:eastAsia="Times New Roman" w:cs="Times New Roman"/>
          <w:color w:val="000000"/>
          <w:sz w:val="28"/>
        </w:rPr>
        <w:t xml:space="preserve">: Các địa phương đã bố trí kinh phí hỗ trợ tư vấn xây dựng cho 1.920 dự án, kế hoạch liên kết với tổng kinh phí hỗ trợ là 115,9 tỷ đồng (chiếm 3,6% tổng NSNN hỗ trợ). Như vậy, số lượng chuỗi liên kết theo Nghị định 98 được hỗ trợ tư vấn xây dựng liên kết còn rất ít, mới chỉ chiếm 65,3% tổng số dự án, kế hoach liên kết theo Nghị định 98. </w:t>
      </w:r>
    </w:p>
    <w:p w14:paraId="34D615D1">
      <w:pPr>
        <w:spacing w:before="120" w:after="0" w:line="240" w:lineRule="auto"/>
        <w:ind w:firstLine="540"/>
        <w:jc w:val="both"/>
        <w:rPr>
          <w:rFonts w:ascii="Times New Roman" w:hAnsi="Times New Roman" w:eastAsia="Times New Roman" w:cs="Times New Roman"/>
          <w:color w:val="000000"/>
          <w:sz w:val="28"/>
        </w:rPr>
      </w:pPr>
      <w:r>
        <w:rPr>
          <w:rFonts w:ascii="Times New Roman" w:hAnsi="Times New Roman" w:eastAsia="Times New Roman" w:cs="Times New Roman"/>
          <w:color w:val="000000"/>
          <w:sz w:val="28"/>
        </w:rPr>
        <w:t>Trong số chuỗi được hỗ trợ tư vấn liên kết, ngân sách nhà nước (trung ương và địa phương) hỗ trợ tư vấn xây dựng dự án, kế hoạch liên kết khá thấp, bình quân chỉ 60,3 triệu đồng/chuỗi, thấp hơn rất nhiều so với mức tối đa theo Nghị định 98 cho phép kinh phí nhà nước hỗ trợ 100% chi phí tư vấn xây dựng liên kết, tối đa không quá 300 triệu đồng. Hiện nay, có nhiều tỉnh đã hỗ trợ chi phí tư vấn liên kết, ví dụ, tỉnh Tiền Giang trước kia đã chi hơn 1,57 tỷ đồng (trong tổng số 14,1 tỷ đồng chi phí hỗ trợ được phê duyệt) để hỗ trợ tư vấn xây dựng dự án, kế hoạch liên kết.</w:t>
      </w:r>
      <w:r>
        <w:rPr>
          <w:lang w:val="af-ZA"/>
        </w:rPr>
        <w:t xml:space="preserve"> </w:t>
      </w:r>
      <w:r>
        <w:rPr>
          <w:rFonts w:ascii="Times New Roman" w:hAnsi="Times New Roman" w:eastAsia="Times New Roman" w:cs="Times New Roman"/>
          <w:color w:val="000000"/>
          <w:sz w:val="28"/>
        </w:rPr>
        <w:t>Đây cũng chính là các địa phương đã phê duyệt được nhiều dự án, kế hoạch liên kết.</w:t>
      </w:r>
    </w:p>
    <w:p w14:paraId="140FB05F">
      <w:pPr>
        <w:spacing w:before="120" w:after="0" w:line="240" w:lineRule="auto"/>
        <w:ind w:firstLine="540"/>
        <w:jc w:val="both"/>
        <w:rPr>
          <w:lang w:val="af-ZA"/>
        </w:rPr>
      </w:pPr>
      <w:r>
        <w:rPr>
          <w:rFonts w:ascii="Times New Roman" w:hAnsi="Times New Roman" w:eastAsia="Times New Roman" w:cs="Times New Roman"/>
          <w:i/>
          <w:color w:val="000000"/>
          <w:sz w:val="28"/>
        </w:rPr>
        <w:t>- Chính sách hỗ trợ hạ tầng, máy móc thiết bị phục vụ liên kết</w:t>
      </w:r>
      <w:r>
        <w:rPr>
          <w:rFonts w:ascii="Times New Roman" w:hAnsi="Times New Roman" w:eastAsia="Times New Roman" w:cs="Times New Roman"/>
          <w:color w:val="000000"/>
          <w:sz w:val="28"/>
        </w:rPr>
        <w:t>: Dự án liên kết được ngân sách nhà nước hỗ trợ 30% vốn đầu tư máy móc trang thiết bị; xây dựng các công trình hạ tầng phục vụ liên kết bao gồm: nhà xưởng, bến bãi, kho tàng phục vụ sản xuất, sơ chế, bảo quản, chế biến và tiêu thụ sản phẩm nông nghiệp. Đến nay, các địa phương đã thực hiện hỗ trợ 1.968 dự án liên kết với tổng kinh phí là 959,9 tỷ đồng, bình quân chỉ đạt 487 triệu đồng/ dự án liên kết, thấp hơn nhiều so với mức tối đa theo Nghị định 98 cho phép kinh phí nhà nước hỗ trợ tối đa 10 tỷ đồng.</w:t>
      </w:r>
      <w:r>
        <w:rPr>
          <w:lang w:val="af-ZA"/>
        </w:rPr>
        <w:t xml:space="preserve"> </w:t>
      </w:r>
    </w:p>
    <w:p w14:paraId="38EDDDE4">
      <w:pPr>
        <w:spacing w:before="120" w:after="0" w:line="240" w:lineRule="auto"/>
        <w:ind w:firstLine="540"/>
        <w:jc w:val="both"/>
        <w:rPr>
          <w:rFonts w:ascii="Times New Roman" w:hAnsi="Times New Roman" w:eastAsia="Times New Roman" w:cs="Times New Roman"/>
          <w:color w:val="000000"/>
          <w:sz w:val="28"/>
        </w:rPr>
      </w:pPr>
      <w:r>
        <w:rPr>
          <w:rFonts w:ascii="Times New Roman" w:hAnsi="Times New Roman" w:eastAsia="Times New Roman" w:cs="Times New Roman"/>
          <w:color w:val="000000"/>
          <w:sz w:val="28"/>
        </w:rPr>
        <w:t>Nhìn chung, kinh phí dành hỗ trợ hạ tầng phục vụ liên kết không lớn. Ví dụ, trong tổng số kinh phí phê duyệt hỗ trợ các dự án/kế hoạch liên kết của tỉnh Tiền Giang đến 31/12/2022 là 14,128 tỷ đồng thì kinh phí hỗ trợ cơ sở hạ tầng chỉ là 1,6 tỷ đồng (chiếm 11,3% tổng kinh phí NSNN hỗ trợ). Lí do kinh phí dành cho hỗ trợ hạ tầng phục vụ liên kết thấp là do yêu cầu đối ứng đến 70% trong khi vốn của các HTX rất nhỏ. Ngoài ra, hỗ trợ hạ tầng phục vụ liên kết không phải là nội dung ưu tiên hỗ trợ trong Chương trình MTQG xây dựng NTM.</w:t>
      </w:r>
    </w:p>
    <w:p w14:paraId="18664235">
      <w:pPr>
        <w:spacing w:before="120" w:after="0" w:line="240" w:lineRule="auto"/>
        <w:ind w:firstLine="540"/>
        <w:jc w:val="both"/>
        <w:rPr>
          <w:rFonts w:ascii="Times New Roman" w:hAnsi="Times New Roman" w:eastAsia="Times New Roman" w:cs="Times New Roman"/>
          <w:color w:val="000000"/>
          <w:sz w:val="28"/>
        </w:rPr>
      </w:pPr>
      <w:r>
        <w:rPr>
          <w:rFonts w:ascii="Times New Roman" w:hAnsi="Times New Roman" w:eastAsia="Times New Roman" w:cs="Times New Roman"/>
          <w:i/>
          <w:color w:val="000000"/>
          <w:sz w:val="28"/>
        </w:rPr>
        <w:t>- Chính sách hỗ trợ khuyến nông, đào tạo, tập huấn và giống, vật tư, bao bì, nhãn mác sản phẩm</w:t>
      </w:r>
      <w:r>
        <w:rPr>
          <w:rFonts w:ascii="Times New Roman" w:hAnsi="Times New Roman" w:eastAsia="Times New Roman" w:cs="Times New Roman"/>
          <w:color w:val="000000"/>
          <w:sz w:val="28"/>
        </w:rPr>
        <w:t>: Đây là nội dung chiếm tỷ trọng lớn trong tổng kinh phí NSNN hỗ trợ.</w:t>
      </w:r>
      <w:r>
        <w:rPr>
          <w:lang w:val="af-ZA"/>
        </w:rPr>
        <w:t xml:space="preserve"> </w:t>
      </w:r>
      <w:r>
        <w:rPr>
          <w:rFonts w:ascii="Times New Roman" w:hAnsi="Times New Roman" w:eastAsia="Times New Roman" w:cs="Times New Roman"/>
          <w:color w:val="000000"/>
          <w:sz w:val="28"/>
        </w:rPr>
        <w:t>Tổng kinh phí hỗ trợ cho các dự án, kế hoạch liên kết đến nay là 2.110 tỷ đồng (chiếm 66,2% tổng NSNN hỗ trợ). Ví dụ, tại Tiền Giang trước kia đển 31/12/2024 tổng kinh phí NSNN hỗ trợ cho nội dung này là 10,9 tỷ đồng, chiếm 77,4% tổng kinh phí hỗ trợ. Nội dung này được các địa phương ưu tiên hỗ trợ do phù hợp với yêu cầu của HTX, phù hợp với nguồn kinh phí sử dụng (vốn từ hỗ trợ đất lúa) và phần lớn không đòi hỏi HTX đối ứng, nhiều nội dung NSNN hỗ trợ 100% (như đào tạo, tập huấn). Các tỉnh thường hỗ trợ 50% chi phí cho vật tư đầu vào (giống, phân bón, thuốc BVTV). Ví dụ, tỉnh Hậu Giang trước kia hỗ trợ 50% chi phí mua giống; hỗ trợ 50% chi phí mua vật tư thiết yếu; hỗ trợ 100% chi phí mua bao bì, nhãn mác sản phẩm; tổng mức hỗ trợ cho 03 hạng mục nêu trên không quá 01 tỷ đồng/01 dự án liên kết. Mức hỗ trợ 50% cho giống, thiết bị, vật tư thiết yếu được các địa phương vận dụng từ chính sách hỗ trợ cho mô hình khuyến nông theo Điều 29 của Nghị định 83/2018/NĐ-CP về khuyến nông.</w:t>
      </w:r>
    </w:p>
    <w:p w14:paraId="26069E95">
      <w:pPr>
        <w:spacing w:before="120" w:after="0" w:line="240" w:lineRule="auto"/>
        <w:ind w:firstLine="540"/>
        <w:jc w:val="both"/>
        <w:rPr>
          <w:rFonts w:ascii="Times New Roman" w:hAnsi="Times New Roman" w:eastAsia="Times New Roman" w:cs="Times New Roman"/>
          <w:b/>
          <w:sz w:val="28"/>
        </w:rPr>
      </w:pPr>
      <w:r>
        <w:rPr>
          <w:rFonts w:ascii="Times New Roman" w:hAnsi="Times New Roman" w:eastAsia="Times New Roman" w:cs="Times New Roman"/>
          <w:b/>
          <w:sz w:val="28"/>
        </w:rPr>
        <w:t>2.3. Vai trò của HTX nông nghiệp trong các chuỗi liên kết</w:t>
      </w:r>
    </w:p>
    <w:p w14:paraId="66FE7DDD">
      <w:pPr>
        <w:spacing w:before="120" w:after="0" w:line="240" w:lineRule="auto"/>
        <w:ind w:firstLine="540"/>
        <w:jc w:val="both"/>
        <w:rPr>
          <w:rFonts w:ascii="Times New Roman" w:hAnsi="Times New Roman" w:eastAsia="Times New Roman" w:cs="Times New Roman"/>
          <w:b/>
          <w:i/>
          <w:color w:val="000000"/>
          <w:sz w:val="28"/>
        </w:rPr>
      </w:pPr>
      <w:r>
        <w:rPr>
          <w:rFonts w:ascii="Times New Roman" w:hAnsi="Times New Roman" w:eastAsia="Times New Roman" w:cs="Times New Roman"/>
          <w:b/>
          <w:i/>
          <w:color w:val="000000"/>
          <w:sz w:val="28"/>
        </w:rPr>
        <w:t>a) Các hình thức tham gia của HTX trong chuỗi liên kết:</w:t>
      </w:r>
    </w:p>
    <w:p w14:paraId="4C2F68EB">
      <w:pPr>
        <w:spacing w:before="120" w:after="0" w:line="240" w:lineRule="auto"/>
        <w:ind w:firstLine="540"/>
        <w:jc w:val="both"/>
        <w:rPr>
          <w:rFonts w:ascii="Times New Roman" w:hAnsi="Times New Roman" w:eastAsia="Times New Roman" w:cs="Times New Roman"/>
          <w:color w:val="000000"/>
          <w:sz w:val="28"/>
        </w:rPr>
      </w:pPr>
      <w:r>
        <w:rPr>
          <w:rFonts w:ascii="Times New Roman" w:hAnsi="Times New Roman" w:eastAsia="Times New Roman" w:cs="Times New Roman"/>
          <w:color w:val="000000"/>
          <w:sz w:val="28"/>
        </w:rPr>
        <w:t>Các HTX nông nghiệp đóng vai trò rất quan trọng trong việc thúc đẩy liên kết bền vững bởi vì các doanh nghiệp không có mạng lưới thu mua nông sản đến tận nơi sản xuất của từng hộ nông dân; các doanh nghiệp không thể trực tiếp ký kết hợp đồng với hàng vạn hộ nông dân có quy mô sản xuất nhỏ lẻ để thu mua, chế biến một khối lượng nông sản lớn. Trong khi đó, các HTX nông nghiệp với vai trò là tổ chức tập hợp của nhiều nông dân sản xuất nhỏ lẻ, đại diện cho nhiều nông dân để thương lượng với doanh nghiệp nhằm tăng sức mạnh trên thị trường. Tham gia liên kết chuỗi theo Nghị định 98, các HTX nông nghiệp có thể là Chủ trì chuỗi hoặc chỉ tham gia vào chuỗi do Doanh nghiệp làm chủ trì:</w:t>
      </w:r>
    </w:p>
    <w:p w14:paraId="51D8CCD9">
      <w:pPr>
        <w:spacing w:before="120" w:after="0" w:line="240" w:lineRule="auto"/>
        <w:ind w:firstLine="540"/>
        <w:jc w:val="both"/>
        <w:rPr>
          <w:rFonts w:ascii="Times New Roman" w:hAnsi="Times New Roman" w:eastAsia="Times New Roman" w:cs="Times New Roman"/>
          <w:color w:val="000000"/>
          <w:sz w:val="28"/>
        </w:rPr>
      </w:pPr>
      <w:r>
        <w:rPr>
          <w:rFonts w:ascii="Times New Roman" w:hAnsi="Times New Roman" w:eastAsia="Times New Roman" w:cs="Times New Roman"/>
          <w:i/>
          <w:color w:val="000000"/>
          <w:sz w:val="28"/>
        </w:rPr>
        <w:t xml:space="preserve">- Đối với các HTX làm chủ trì chuỗi: </w:t>
      </w:r>
      <w:r>
        <w:rPr>
          <w:rFonts w:ascii="Times New Roman" w:hAnsi="Times New Roman" w:eastAsia="Times New Roman" w:cs="Times New Roman"/>
          <w:color w:val="000000"/>
          <w:sz w:val="28"/>
        </w:rPr>
        <w:t xml:space="preserve">Các HTX làm chủ trì chuỗi liên kết có vai trò và trách nhiệm rất lớn từ việc xây dựng hồ sơ liên kết, triển khai thực hiện dự án/ kế hoạch liên kết và tổ chức phát triển các chuỗi liên kết. Trong số các liên kết được phê duyệt, có 79,3% số HTX làm chủ trì liên kết. HTX làm chủ trì liên kết đồng thời là đối tượng chính tiếp nhận ngân sách hỗ trợ. Trong tổng ngân sách hỗ trợ liên kết, tỷ trọng hỗ trợ qua HTX chiếm 73,1%. </w:t>
      </w:r>
    </w:p>
    <w:p w14:paraId="053773A2">
      <w:pPr>
        <w:spacing w:before="120" w:after="0" w:line="240" w:lineRule="auto"/>
        <w:ind w:firstLine="540"/>
        <w:jc w:val="both"/>
        <w:rPr>
          <w:rFonts w:ascii="Times New Roman" w:hAnsi="Times New Roman" w:eastAsia="Times New Roman" w:cs="Times New Roman"/>
          <w:color w:val="000000"/>
          <w:sz w:val="28"/>
        </w:rPr>
      </w:pPr>
      <w:r>
        <w:rPr>
          <w:rFonts w:ascii="Times New Roman" w:hAnsi="Times New Roman" w:eastAsia="Times New Roman" w:cs="Times New Roman"/>
          <w:color w:val="000000"/>
          <w:sz w:val="28"/>
        </w:rPr>
        <w:t>Điển hình như trường hợp HTX Long Thành Phát (tỉnh Đồng Nai), có 25 thành viên chủ yếu là các hộ chăn nuôi gà quy mô lớn. Để chủ động tham gia chuỗi gà, HTX đại diện cho các thành viên ký hợp đồng liên kết với nhiều công ty như: HTX tổ chức sản xuất cho các thành viên HTX và bán sản phẩm gà lông cho công ty KOYU &amp; UNITEK. Ngoài liên kết với Công Ty KOYU &amp; UNITEK HTX còn cung cấp sản phẩm cho một số công ty giết mổ như Công ty San Hà. Để có con giống, vật tư đầu vào chất lượng, HTX đại diện cho các thành viên HTX đàm phán và ký hợp đồng với các đơn vị cung cấp đầu vào để cung cáp đầu vào sản xuất cho các thành viên HTX với giá rẻ hơn so với giá thị trường. HTX đại diện cho hộ ký hợp đồng cung cấp với Công ty TNHH De Heus Việt Nam, các công ty cung cấp thuốc thú y, công ty cung cấp giống, đơn vị cung cấp dịch vụ vận chuyển. HTX đại diện cho các thành viên đàm phán và ký hợp đồng với đơn vị cung cấp dịch vụ vận tải để vận chuyển con giống, sản phẩm bán cho các hộ thành viên đảm bảo việc vận chuyển đúng lịch theo như kế hoạch sản xuất và tiêu thụ sản phẩm của HTX.</w:t>
      </w:r>
    </w:p>
    <w:p w14:paraId="3B5BB650">
      <w:pPr>
        <w:spacing w:before="120" w:after="0" w:line="240" w:lineRule="auto"/>
        <w:ind w:firstLine="539"/>
        <w:jc w:val="both"/>
        <w:rPr>
          <w:rFonts w:ascii="Times New Roman" w:hAnsi="Times New Roman" w:eastAsia="Times New Roman" w:cs="Times New Roman"/>
          <w:i/>
          <w:color w:val="000000"/>
          <w:sz w:val="28"/>
        </w:rPr>
      </w:pPr>
      <w:r>
        <w:rPr>
          <w:rFonts w:ascii="Times New Roman" w:hAnsi="Times New Roman" w:eastAsia="Times New Roman" w:cs="Times New Roman"/>
          <w:i/>
          <w:color w:val="000000"/>
          <w:sz w:val="28"/>
        </w:rPr>
        <w:t xml:space="preserve">- Đối với HTX tham gia trong chuỗi liên kết do Doanh nghiệp làm chủ trì: </w:t>
      </w:r>
      <w:r>
        <w:rPr>
          <w:rFonts w:ascii="Times New Roman" w:hAnsi="Times New Roman" w:eastAsia="Times New Roman" w:cs="Times New Roman"/>
          <w:color w:val="000000"/>
          <w:sz w:val="28"/>
        </w:rPr>
        <w:t>Trong chuỗi liên kết, HTX thường chỉ đóng vai trò là trung gian cầu nối giữa nông dân với doanh nghiệp, đối tác tiêu thụ. Mọi quyết định liên kết đều hoàn toàn do doanh nghiệp, đối tác liên kết quyết định. Tham gia chuỗi, vai trò chủ yếu của HTX đó là: tiếp nhận và thu hồi đầu tư ứng trước của doanh nghiệp, đối tác; đại diện hộ thành viên để thanh quyết toán với doanh nghiệp, đối tác liên kết.</w:t>
      </w:r>
      <w:r>
        <w:rPr>
          <w:rFonts w:ascii="Times New Roman" w:hAnsi="Times New Roman" w:eastAsia="Times New Roman" w:cs="Times New Roman"/>
          <w:i/>
          <w:color w:val="000000"/>
          <w:sz w:val="28"/>
        </w:rPr>
        <w:t xml:space="preserve"> </w:t>
      </w:r>
      <w:r>
        <w:rPr>
          <w:rFonts w:ascii="Times New Roman" w:hAnsi="Times New Roman" w:eastAsia="Times New Roman" w:cs="Times New Roman"/>
          <w:color w:val="000000"/>
          <w:sz w:val="28"/>
        </w:rPr>
        <w:t xml:space="preserve">Thực tế, nhiều doanh nghiệp mong muốn được liên kết với các HTX hoặc THT hơn là liên kết trực tiếp với từng hộ nôn dân nhỏ lẻ. Lí do là nhiều HTX đã phát triển các vùng nguyên liệu ổn định, thuận lợi mua khối lượng lớn sản phẩm, không phải kí hợp đồng với từng hộ nông dân, giảm được chi phí thu mua sản phẩm, có thể kiểm soát và nâng cao được chất lượng sản phẩm, giảm tình trạng phá vỡ hợp đồng của hộ nông dân. </w:t>
      </w:r>
    </w:p>
    <w:p w14:paraId="486DF833">
      <w:pPr>
        <w:spacing w:before="120" w:after="0" w:line="240" w:lineRule="auto"/>
        <w:ind w:firstLine="540"/>
        <w:jc w:val="both"/>
        <w:rPr>
          <w:rFonts w:ascii="Times New Roman" w:hAnsi="Times New Roman" w:eastAsia="Times New Roman" w:cs="Times New Roman"/>
          <w:b/>
          <w:i/>
          <w:color w:val="000000"/>
          <w:sz w:val="28"/>
        </w:rPr>
      </w:pPr>
      <w:r>
        <w:rPr>
          <w:rFonts w:ascii="Times New Roman" w:hAnsi="Times New Roman" w:eastAsia="Times New Roman" w:cs="Times New Roman"/>
          <w:b/>
          <w:i/>
          <w:color w:val="000000"/>
          <w:sz w:val="28"/>
        </w:rPr>
        <w:t>b) Tác động của HTX khi tham gia liên kết</w:t>
      </w:r>
    </w:p>
    <w:p w14:paraId="3DD78DE6">
      <w:pPr>
        <w:spacing w:before="120" w:after="0" w:line="240" w:lineRule="auto"/>
        <w:ind w:firstLine="540"/>
        <w:jc w:val="both"/>
        <w:rPr>
          <w:rFonts w:ascii="Times New Roman" w:hAnsi="Times New Roman" w:eastAsia="Times New Roman" w:cs="Times New Roman"/>
          <w:color w:val="000000"/>
          <w:sz w:val="28"/>
        </w:rPr>
      </w:pPr>
      <w:r>
        <w:rPr>
          <w:rFonts w:ascii="Times New Roman" w:hAnsi="Times New Roman" w:eastAsia="Times New Roman" w:cs="Times New Roman"/>
          <w:color w:val="000000"/>
          <w:sz w:val="28"/>
        </w:rPr>
        <w:t>HTX nông nghiệp tham gia các chuỗi liên kết theo Nghị định 98 đem lại nhiều tác động tích cực. Cụ thể như sau:</w:t>
      </w:r>
    </w:p>
    <w:p w14:paraId="116B9470">
      <w:pPr>
        <w:spacing w:before="120" w:after="0" w:line="240" w:lineRule="auto"/>
        <w:ind w:firstLine="540"/>
        <w:jc w:val="both"/>
        <w:rPr>
          <w:rFonts w:ascii="Times New Roman" w:hAnsi="Times New Roman" w:eastAsia="Times New Roman" w:cs="Times New Roman"/>
          <w:color w:val="000000"/>
          <w:sz w:val="28"/>
        </w:rPr>
      </w:pPr>
      <w:r>
        <w:rPr>
          <w:rFonts w:ascii="Times New Roman" w:hAnsi="Times New Roman" w:eastAsia="Times New Roman" w:cs="Times New Roman"/>
          <w:i/>
          <w:color w:val="000000"/>
          <w:sz w:val="28"/>
        </w:rPr>
        <w:t>- Thúc đẩy tổ chức sản xuất, hình thành vùng nguyên liệu sản xuất hàng hóa tập trung quy mô lớn</w:t>
      </w:r>
      <w:r>
        <w:rPr>
          <w:rFonts w:ascii="Times New Roman" w:hAnsi="Times New Roman" w:eastAsia="Times New Roman" w:cs="Times New Roman"/>
          <w:color w:val="000000"/>
          <w:sz w:val="28"/>
        </w:rPr>
        <w:t xml:space="preserve">: Để hình thành vùng nguyên liệu sản xuất tập trung với quy mô hàng hóa lớn thì điều kiện tiên quyết là các hộ nông dân phải cùng nhau áp dụng quy trình kỹ thuật chung trong tất cả các khâu từ sản xuất tới tiêu thụ. Với bản chất là tổ chức kinh tế tập thể, HTX nông nghiệp là tác nhân kinh tế có lợi thế nhất trong việc điều phối, tổ chức các hành động tập thể trong sản xuất kinh doanh cho các thành viên của mình. </w:t>
      </w:r>
      <w:r>
        <w:rPr>
          <w:rFonts w:ascii="Times New Roman" w:hAnsi="Times New Roman" w:eastAsia="Times New Roman" w:cs="Times New Roman"/>
          <w:bCs/>
          <w:color w:val="000000"/>
          <w:sz w:val="28"/>
        </w:rPr>
        <w:t>Sau khi hợp đồng liên kết với doanh nghiệp được ký kết, HTX nông nghiệp chính là đơn vị giám sát việc tuân thủ hợp đồng của chính các hộ nông dân thành viên về việc áp dụng QTKT canh tác. Ngược lại, HTX nông nghiệp cũng đại diện cho người nông dân thành viên để giám sát việc tuân thủ hợp đồng mà doanh nghiệp đã ký kết.</w:t>
      </w:r>
    </w:p>
    <w:p w14:paraId="672A4508">
      <w:pPr>
        <w:spacing w:before="120" w:after="0" w:line="240" w:lineRule="auto"/>
        <w:ind w:firstLine="540"/>
        <w:jc w:val="both"/>
        <w:rPr>
          <w:rFonts w:ascii="Times New Roman" w:hAnsi="Times New Roman" w:eastAsia="Times New Roman" w:cs="Times New Roman"/>
          <w:color w:val="000000"/>
          <w:sz w:val="28"/>
        </w:rPr>
      </w:pPr>
      <w:r>
        <w:rPr>
          <w:rFonts w:ascii="Times New Roman" w:hAnsi="Times New Roman" w:eastAsia="Times New Roman" w:cs="Times New Roman"/>
          <w:i/>
          <w:color w:val="000000"/>
          <w:sz w:val="28"/>
        </w:rPr>
        <w:t>- Nâng cao hiệu quả hoạt động của HTX phục vụ thành viên</w:t>
      </w:r>
      <w:r>
        <w:rPr>
          <w:rFonts w:ascii="Times New Roman" w:hAnsi="Times New Roman" w:eastAsia="Times New Roman" w:cs="Times New Roman"/>
          <w:color w:val="000000"/>
          <w:sz w:val="28"/>
        </w:rPr>
        <w:t>: Tham gia liên kết theo Nghị định 98 đem lại nhiều lợi ích cho các HTX nông nghiệp. Cụ thể: i) Gần 60% HTX mở rộng quy mô hoạt động SXKD khi tham gia liên kết theo Nghị định 98. Khi tham gia liên kết, HTX có cơ hội để mở rộng hoạt động SXKD do: HTX phải tổ chức cung cấp dịch vụ tập trung để đáp ứng yêu cầu thực hành sản xuất (ví dụ, cung cấp lúa giống chất lượng, cung cấp thuốc BVTV, cung cấp dịch vụ thu hoạch,…); ii) Tăng thu nhập của HTX: Khi tham gia liên kết, HTX cần tổ chức cung cấp vật tư, dịch vụ cho thành viên để đảm bảo vật tư đúng theo yêu cầu, đảm bảo sản phẩm sản xuất ra có chất lượng theo thỏa thuận với doanh nghiệp; iii) Nâng cao năng lực của cán bộ HTX: Trên 60% HTX liên kết cho rằng nhờ tham gia liên kết theo Nghị định 98 đã giúp nâng cao năng lực của cán bộ quản lý HTX thông qua các lớp bồi dưỡng, tập huấn; qua thực hành các công việc trong liên kết như xây dựng phương án, huy động vốn,..; HTX được doanh nghiệp liên kết cử cán bộ tham gia quản lý, hỗ trợ quản lý HTX (như Tập đoàn Lộc Trời); iv) Tham gia liên kết tạo thuận lợi hơn cho HTX trong tiếp cận chính sách hỗ trợ của nhà nước, đặc biệt là về đất đai, tín dụng, hạ tầng, trang thiết bị máy móc phục vụ sản xuất.</w:t>
      </w:r>
    </w:p>
    <w:p w14:paraId="5BA73486">
      <w:pPr>
        <w:spacing w:before="120" w:after="0" w:line="240" w:lineRule="auto"/>
        <w:ind w:firstLine="540"/>
        <w:jc w:val="both"/>
        <w:rPr>
          <w:rFonts w:ascii="Times New Roman" w:hAnsi="Times New Roman" w:eastAsia="Times New Roman" w:cs="Times New Roman"/>
          <w:color w:val="000000"/>
          <w:sz w:val="28"/>
        </w:rPr>
      </w:pPr>
      <w:r>
        <w:rPr>
          <w:rFonts w:ascii="Times New Roman" w:hAnsi="Times New Roman" w:eastAsia="Times New Roman" w:cs="Times New Roman"/>
          <w:i/>
          <w:color w:val="000000"/>
          <w:sz w:val="28"/>
        </w:rPr>
        <w:t>- Tác động của việc HTX tham gia chuỗi liên kết đến hộ thành viên</w:t>
      </w:r>
      <w:r>
        <w:rPr>
          <w:rFonts w:ascii="Times New Roman" w:hAnsi="Times New Roman" w:eastAsia="Times New Roman" w:cs="Times New Roman"/>
          <w:color w:val="000000"/>
          <w:sz w:val="28"/>
        </w:rPr>
        <w:t>: Nhìn chung khi HTX tham gia chuỗi liên kết theo Nghị định 98 có tác động tốt, tích cực lên sản xuất của hộ thành viên. Nhiều HTX đánh giá nhờ tham gia chuỗi liên kết theo Nghị định 98 đã mang đến kết quả tốt hơn, cao hơn, tích cực hơn về chất lượng sản phẩm, giá bán sản phẩm, thị trường sản phẩm, trình độ sản xuất của hộ thành viên và lợi nhuận của một đơn vị sản xuất. Khi tham gia chuỗi liên kết theo Nghị định 98, các thành viên của HTX được tập huấn hướng dẫn áp dụng quy trình sản xuất tốt, được cung ứng vật tư đầu vào với giá thấp hơn, chất lượng tốt, và được bao tiêu với giá sản phẩm cao hơn.</w:t>
      </w:r>
    </w:p>
    <w:p w14:paraId="3896D2BF">
      <w:pPr>
        <w:keepNext/>
        <w:spacing w:before="120" w:after="0" w:line="240" w:lineRule="auto"/>
        <w:ind w:right="-102" w:firstLine="539"/>
        <w:rPr>
          <w:rFonts w:ascii="Times New Roman" w:hAnsi="Times New Roman" w:eastAsia="Times New Roman" w:cs="Times New Roman"/>
          <w:b/>
          <w:sz w:val="28"/>
        </w:rPr>
      </w:pPr>
      <w:r>
        <w:rPr>
          <w:rFonts w:hint="default" w:ascii="Times New Roman" w:hAnsi="Times New Roman" w:eastAsia="Times New Roman" w:cs="Times New Roman"/>
          <w:b/>
          <w:sz w:val="28"/>
          <w:lang w:val="en-US"/>
        </w:rPr>
        <w:t>3</w:t>
      </w:r>
      <w:r>
        <w:rPr>
          <w:rFonts w:ascii="Times New Roman" w:hAnsi="Times New Roman" w:eastAsia="Times New Roman" w:cs="Times New Roman"/>
          <w:b/>
          <w:sz w:val="28"/>
        </w:rPr>
        <w:t xml:space="preserve">. Đánh giá thành công, hạn chế về phát triển liên kết theo </w:t>
      </w:r>
      <w:r>
        <w:rPr>
          <w:rFonts w:hint="default" w:ascii="Times New Roman" w:hAnsi="Times New Roman" w:eastAsia="Times New Roman" w:cs="Times New Roman"/>
          <w:b/>
          <w:sz w:val="28"/>
          <w:lang w:val="en-US"/>
        </w:rPr>
        <w:t>N</w:t>
      </w:r>
      <w:r>
        <w:rPr>
          <w:rFonts w:ascii="Times New Roman" w:hAnsi="Times New Roman" w:eastAsia="Times New Roman" w:cs="Times New Roman"/>
          <w:b/>
          <w:sz w:val="28"/>
        </w:rPr>
        <w:t>ghị định 98</w:t>
      </w:r>
    </w:p>
    <w:p w14:paraId="0D1FA99B">
      <w:pPr>
        <w:spacing w:before="120" w:after="0" w:line="240" w:lineRule="auto"/>
        <w:ind w:firstLine="539"/>
        <w:jc w:val="both"/>
        <w:rPr>
          <w:rFonts w:ascii="Times New Roman" w:hAnsi="Times New Roman" w:eastAsia="Times New Roman" w:cs="Times New Roman"/>
          <w:b/>
          <w:spacing w:val="-4"/>
          <w:sz w:val="28"/>
        </w:rPr>
      </w:pPr>
      <w:r>
        <w:rPr>
          <w:rFonts w:ascii="Times New Roman" w:hAnsi="Times New Roman" w:eastAsia="Times New Roman" w:cs="Times New Roman"/>
          <w:b/>
          <w:spacing w:val="-4"/>
          <w:sz w:val="28"/>
        </w:rPr>
        <w:t>3.1. Thành công</w:t>
      </w:r>
    </w:p>
    <w:p w14:paraId="12BA45FA">
      <w:pPr>
        <w:tabs>
          <w:tab w:val="left" w:pos="-5940"/>
          <w:tab w:val="left" w:pos="0"/>
        </w:tabs>
        <w:spacing w:before="120" w:after="0" w:line="240" w:lineRule="auto"/>
        <w:ind w:right="-18" w:firstLine="540"/>
        <w:jc w:val="both"/>
        <w:rPr>
          <w:rFonts w:ascii="Times New Roman" w:hAnsi="Times New Roman" w:eastAsia="Times New Roman" w:cs="Times New Roman"/>
          <w:sz w:val="28"/>
        </w:rPr>
      </w:pPr>
      <w:r>
        <w:rPr>
          <w:rFonts w:ascii="Times New Roman" w:hAnsi="Times New Roman" w:eastAsia="Times New Roman" w:cs="Times New Roman"/>
          <w:i/>
          <w:sz w:val="28"/>
        </w:rPr>
        <w:t>a) Nghị định 98 ra đời là văn bản pháp lý đầy đủ nhất về phát triển liên kết sản xuất và tiêu thụ sản phẩm nông nghiệp</w:t>
      </w:r>
      <w:r>
        <w:rPr>
          <w:rFonts w:ascii="Times New Roman" w:hAnsi="Times New Roman" w:eastAsia="Times New Roman" w:cs="Times New Roman"/>
          <w:sz w:val="28"/>
        </w:rPr>
        <w:t>: Chính sách hỗ trợ trong Nghị định tập trung vào các “nút thắt” mà các chủ thể tham gia chuỗi liên kết cần như: hỗ trợ tư vấn liên kết, đầu tư hạ tầng; khuyến nông, đào tạo, tập huấn; hỗ trợ  giống, vật tư, bao bì, nhãn mác sản phẩm. Sự ra đời của Nghị định 98 đã kịp thời đáp ứng đúng nhu cầu của thực tiễn sản xuất, nhờ đó đã từng bước phát triển liên kết gắn sản xuất với tiêu thụ nông sản ở nhiều địa phương trên cả nước.</w:t>
      </w:r>
    </w:p>
    <w:p w14:paraId="0F1B30CF">
      <w:pPr>
        <w:spacing w:before="120" w:after="0" w:line="240" w:lineRule="auto"/>
        <w:ind w:firstLine="540"/>
        <w:jc w:val="both"/>
        <w:rPr>
          <w:rFonts w:ascii="Times New Roman" w:hAnsi="Times New Roman" w:eastAsia="Times New Roman" w:cs="Times New Roman"/>
          <w:sz w:val="28"/>
        </w:rPr>
      </w:pPr>
      <w:r>
        <w:rPr>
          <w:rFonts w:ascii="Times New Roman" w:hAnsi="Times New Roman" w:eastAsia="Times New Roman" w:cs="Times New Roman"/>
          <w:i/>
          <w:sz w:val="28"/>
        </w:rPr>
        <w:t>b) Việc tổ chức sản xuất theo chuỗi giá trị liên kết ngày càng được cải thiện và đã đạt được nhiều kết quả</w:t>
      </w:r>
      <w:r>
        <w:rPr>
          <w:rFonts w:ascii="Times New Roman" w:hAnsi="Times New Roman" w:eastAsia="Times New Roman" w:cs="Times New Roman"/>
          <w:sz w:val="28"/>
        </w:rPr>
        <w:t>: Đến hết tháng 6/2025, tỷ lệ giá trị sản phẩm nông nghiệp được sản xuất dưới hình thức hợp tác và liên kết đạt khoảng 31,2%, ước tính đến hết năm 2025 đạt trên 32% (năm 2016, trước khi có Nghị định 98, tỷ lệ này chỉ đạt khoảng 10%; năm 2021 đạt 21,6%; năm 2023 đạt 25,6%); trong đó nhiều sản phẩm chủ lực quốc gia đạt tỷ lệ (%) giá trị sản phẩm được sản xuất dưới các hình thức hợp tác và liên kết khá cao như: điều đạt 64,69%; hồ tiêu đạt 62,93%; cà phê đạt 40,28%; nhiều sản phẩm khác có tỷ lệ giá trị sản phẩm nông nghiệp được sản xuất dưới hình thức hợp tác và liên kết đạt từ 10-20%.</w:t>
      </w:r>
    </w:p>
    <w:p w14:paraId="212C3664">
      <w:pPr>
        <w:tabs>
          <w:tab w:val="left" w:pos="-5940"/>
          <w:tab w:val="left" w:pos="0"/>
        </w:tabs>
        <w:spacing w:before="120" w:after="0" w:line="240" w:lineRule="auto"/>
        <w:ind w:right="-18" w:firstLine="540"/>
        <w:jc w:val="both"/>
        <w:rPr>
          <w:rFonts w:ascii="Times New Roman" w:hAnsi="Times New Roman" w:eastAsia="Times New Roman" w:cs="Times New Roman"/>
          <w:color w:val="000000"/>
          <w:sz w:val="28"/>
        </w:rPr>
      </w:pPr>
      <w:r>
        <w:rPr>
          <w:rFonts w:ascii="Times New Roman" w:hAnsi="Times New Roman" w:eastAsia="Times New Roman" w:cs="Times New Roman"/>
          <w:i/>
          <w:sz w:val="28"/>
        </w:rPr>
        <w:t>c) Thúc đẩy mối quan hệ hợp tác công tư (PPP) giữa nhà nước với doanh nghiệp, HTX, nông dân và các tổ chức khác trong chuỗi liên kết:</w:t>
      </w:r>
      <w:r>
        <w:rPr>
          <w:rFonts w:ascii="Times New Roman" w:hAnsi="Times New Roman" w:eastAsia="Times New Roman" w:cs="Times New Roman"/>
          <w:sz w:val="28"/>
        </w:rPr>
        <w:t xml:space="preserve"> Đến nay, trong số 2.938 dự án, kế hoạch liên kết theo Nghị định 98 được phê duyệt, đã có 215.955 tác nhân tham gia, trong đó có 2.412 HTX, 538 THT, 1.305 doanh nghiệp, 211.545 hộ nông dân và 155 cơ quan nghiên cứu, chuyển giao KHKT tham gia. Tổng kinh phí thực hiện các dự án, kế hoạch liên kết là </w:t>
      </w:r>
      <w:r>
        <w:rPr>
          <w:rFonts w:ascii="Times New Roman" w:hAnsi="Times New Roman" w:eastAsia="Times New Roman" w:cs="Times New Roman"/>
          <w:color w:val="000000"/>
          <w:sz w:val="28"/>
        </w:rPr>
        <w:t>15.243 tỷ đồng, tuy nhiên, NSNN chỉ hỗ trợ 3.186 tỷ đồng (chiếm 20,9%), còn lại 79,1% kinh phí dự án, kế hoạch do các doanh nghiệp, HTX và người dân đối ứng. Như vậy, để thực hiện dự án, kế hoạch liên kết theo Nghị định 98, NSNN chỉ cần bỏ ra 01 đồng sẽ thu hút doanh nghiệp, HTX và người dân bỏ ra 4,6 đồng đối ứng để cùng triển khai thực hiện.</w:t>
      </w:r>
    </w:p>
    <w:p w14:paraId="382F4EDB">
      <w:pPr>
        <w:tabs>
          <w:tab w:val="left" w:pos="-5940"/>
          <w:tab w:val="left" w:pos="0"/>
        </w:tabs>
        <w:spacing w:before="120" w:after="0" w:line="240" w:lineRule="auto"/>
        <w:ind w:right="-18" w:firstLine="540"/>
        <w:jc w:val="both"/>
        <w:rPr>
          <w:rFonts w:ascii="Times New Roman" w:hAnsi="Times New Roman" w:eastAsia="Times New Roman" w:cs="Times New Roman"/>
          <w:sz w:val="28"/>
        </w:rPr>
      </w:pPr>
      <w:r>
        <w:rPr>
          <w:rFonts w:ascii="Times New Roman" w:hAnsi="Times New Roman" w:eastAsia="Times New Roman" w:cs="Times New Roman"/>
          <w:i/>
          <w:color w:val="000000"/>
          <w:sz w:val="28"/>
        </w:rPr>
        <w:t>d) Phát huy vai trò và nâng cao hiệu quả hoạt động của các tổ chức nông dân (HTX, THT):</w:t>
      </w:r>
      <w:r>
        <w:rPr>
          <w:rFonts w:ascii="Times New Roman" w:hAnsi="Times New Roman" w:eastAsia="Times New Roman" w:cs="Times New Roman"/>
          <w:color w:val="000000"/>
          <w:sz w:val="28"/>
        </w:rPr>
        <w:t xml:space="preserve"> </w:t>
      </w:r>
      <w:r>
        <w:rPr>
          <w:rFonts w:ascii="Times New Roman" w:hAnsi="Times New Roman" w:eastAsia="Times New Roman" w:cs="Times New Roman"/>
          <w:sz w:val="28"/>
        </w:rPr>
        <w:t>HTX nông nghiệp đóng vai trò quan trọng trong phát triển liên kết chuỗi giá trị nông sản. Để HTX tham gia chuỗi liên kết thành công thì yếu tố nội tại trước tiên phải là trình độ, năng lực của người đứng đầu HTX (Chủ tịch HĐQT và Giám đốc HTX); cùng với đó là trình độ, năng lực của đội ngũ cán bộ HTX (các thành viên HĐQT, thành viên Ban Giám đốc; các tổ bộ phận: kinh doanh, kỹ thuật; các thành viên Ban kiểm soát; kế toán và thủ quỹ HTX. Tiếp theo, đòi hỏi HTX phải quản trị công khai, minh bạch; có các quy chế và thực hiện các quy chế nội bộ HTX. Sau cùng mới là các điều kiện về vốn kinh doanh, và trang thiết bị máy móc, tài sản để phục vụ liên kết. Do vậy, cần thiết phải nâng cao năng lực, hiệu quả hoạt động của các HTX để phát triển liên kết chuỗi giá trị nông sản.</w:t>
      </w:r>
    </w:p>
    <w:p w14:paraId="09F0E7B3">
      <w:pPr>
        <w:tabs>
          <w:tab w:val="left" w:pos="-5940"/>
          <w:tab w:val="left" w:pos="0"/>
        </w:tabs>
        <w:spacing w:before="120" w:after="0" w:line="240" w:lineRule="auto"/>
        <w:ind w:right="-18" w:firstLine="540"/>
        <w:jc w:val="both"/>
        <w:rPr>
          <w:rFonts w:ascii="Times New Roman" w:hAnsi="Times New Roman" w:eastAsia="Times New Roman" w:cs="Times New Roman"/>
          <w:sz w:val="28"/>
        </w:rPr>
      </w:pPr>
      <w:r>
        <w:rPr>
          <w:rFonts w:ascii="Times New Roman" w:hAnsi="Times New Roman" w:eastAsia="Times New Roman" w:cs="Times New Roman"/>
          <w:i/>
          <w:sz w:val="28"/>
        </w:rPr>
        <w:t>đ) Hình thành và phát triển mạng lưới tư vấn, tổ khuyến nông cộng đồng</w:t>
      </w:r>
      <w:r>
        <w:rPr>
          <w:rFonts w:ascii="Times New Roman" w:hAnsi="Times New Roman" w:eastAsia="Times New Roman" w:cs="Times New Roman"/>
          <w:sz w:val="28"/>
        </w:rPr>
        <w:t>: Để xây dựng được các dự án, kế hoạch liên kết khả thi, hiệu quả thì vai trò của lực lượng tư vấn rất quan trọng, nhất là với các dự án liên kết do các HTX làm chủ trì. Khi có có sự tham gia của tư vấn không chỉ giúp việc xây dựng chiến lược phát triển, kế hoạch sản xuất kinh doanh và quản trị HTX được rõ ràng, khả thi hơn mà còn giúp thúc đẩy sự tham gia của thành viên nhiều hơn vào các hoạt động của HTX. Thực tế cho thấy, nhiều chủ trì liên kết là HTX nông nghiệp không đủ năng lực xây dựng dự án, kế hoạch liên kết nên các tỉnh thường hỗ trợ chủ trì chi phí để thuê đơn vị tư vấn xây dựng dự án/kế hoạch liên kết. Để huy động lực lượng tư vấn, một số địa phương như tỉnh Đồng Tháp đã huy động hệ thống khuyến nông hoặc các Tổ khuyến nông cộng đồng để tư vấn, hỗ trợ xây dựng và triển khai các dự án, kế hoạch liên kết.</w:t>
      </w:r>
    </w:p>
    <w:p w14:paraId="79F58415">
      <w:pPr>
        <w:tabs>
          <w:tab w:val="left" w:pos="-5940"/>
          <w:tab w:val="left" w:pos="0"/>
        </w:tabs>
        <w:spacing w:before="120" w:after="0" w:line="240" w:lineRule="auto"/>
        <w:ind w:right="-18" w:firstLine="540"/>
        <w:jc w:val="both"/>
        <w:rPr>
          <w:rFonts w:ascii="Times New Roman" w:hAnsi="Times New Roman" w:eastAsia="Times New Roman" w:cs="Times New Roman"/>
          <w:sz w:val="28"/>
        </w:rPr>
      </w:pPr>
      <w:r>
        <w:rPr>
          <w:rFonts w:ascii="Times New Roman" w:hAnsi="Times New Roman" w:eastAsia="Times New Roman" w:cs="Times New Roman"/>
          <w:i/>
          <w:sz w:val="28"/>
        </w:rPr>
        <w:t>e) Thu hút sự tham gia, vào cuộc của cả hệ thống chính trị</w:t>
      </w:r>
      <w:r>
        <w:rPr>
          <w:rFonts w:ascii="Times New Roman" w:hAnsi="Times New Roman" w:eastAsia="Times New Roman" w:cs="Times New Roman"/>
          <w:sz w:val="28"/>
        </w:rPr>
        <w:t>: Để thực hiện liên kết thành công, sự chỉ đạo của chính quyền địa phương là rất cần thiết, đặc biệt đối với cấp huyện, xã để kịp thời theo dõi, phát hiện vấn đề và hướng dẫn chỉnh sửa cho các dự án, kế hoạch liên kết. Ngoài ra, sự tham gia tích cực và có hiệu quả của các bên liên quan khác (ở đây là các Tổ chức chính trị xã hội, các Hội, Hiệp hội, Liên minh HTX,…) đã có nhiều đóng góp rất tích cực trong việc thu hút, vận động hội viên tham gia. Sự tham gia của chính quyền và các tổ chức chính trị ở địa phương giúp đảm bảo liên kết được thực hiện tốt như hỗ trợ xử lý các tranh chấp, vi phạm hợp đồng, ngăn chặn hiện tượng tranh mua của tư thương, chứng thực hợp đồng liên kết, kiểm tra việc thực hiện hợp đồng của các bên liên quan.</w:t>
      </w:r>
    </w:p>
    <w:p w14:paraId="5AD91376">
      <w:pPr>
        <w:spacing w:before="120" w:after="0" w:line="240" w:lineRule="auto"/>
        <w:ind w:firstLine="539"/>
        <w:jc w:val="both"/>
        <w:rPr>
          <w:rFonts w:ascii="Times New Roman" w:hAnsi="Times New Roman" w:eastAsia="Times New Roman" w:cs="Times New Roman"/>
          <w:b/>
          <w:spacing w:val="-4"/>
          <w:sz w:val="28"/>
        </w:rPr>
      </w:pPr>
      <w:r>
        <w:rPr>
          <w:rFonts w:ascii="Times New Roman" w:hAnsi="Times New Roman" w:eastAsia="Times New Roman" w:cs="Times New Roman"/>
          <w:b/>
          <w:spacing w:val="-4"/>
          <w:sz w:val="28"/>
        </w:rPr>
        <w:t xml:space="preserve">3.2. </w:t>
      </w:r>
      <w:r>
        <w:rPr>
          <w:rFonts w:hint="default" w:ascii="Times New Roman" w:hAnsi="Times New Roman" w:eastAsia="Times New Roman" w:cs="Times New Roman"/>
          <w:b/>
          <w:spacing w:val="-4"/>
          <w:sz w:val="28"/>
          <w:lang w:val="en-US"/>
        </w:rPr>
        <w:t>Tồn tại, hạn chế</w:t>
      </w:r>
      <w:r>
        <w:rPr>
          <w:rFonts w:ascii="Times New Roman" w:hAnsi="Times New Roman" w:eastAsia="Times New Roman" w:cs="Times New Roman"/>
          <w:b/>
          <w:spacing w:val="-4"/>
          <w:sz w:val="28"/>
        </w:rPr>
        <w:t xml:space="preserve"> trong thực hiện Nghị định 98</w:t>
      </w:r>
    </w:p>
    <w:p w14:paraId="65A253DC">
      <w:pPr>
        <w:spacing w:before="120" w:after="0" w:line="240" w:lineRule="auto"/>
        <w:ind w:firstLine="540"/>
        <w:jc w:val="both"/>
        <w:rPr>
          <w:rFonts w:hint="default" w:ascii="Times New Roman" w:hAnsi="Times New Roman" w:eastAsia="Times New Roman" w:cs="Times New Roman"/>
          <w:i w:val="0"/>
          <w:iCs/>
          <w:color w:val="000000"/>
          <w:sz w:val="28"/>
        </w:rPr>
      </w:pPr>
      <w:r>
        <w:rPr>
          <w:rFonts w:hint="default" w:ascii="Times New Roman" w:hAnsi="Times New Roman" w:eastAsia="Times New Roman" w:cs="Times New Roman"/>
          <w:i w:val="0"/>
          <w:iCs/>
          <w:color w:val="000000"/>
          <w:sz w:val="28"/>
        </w:rPr>
        <w:t>Qua hơn 06 năm triển khai thực hiện, Nghị định số 98/2018/NĐ-CP đã góp phần thúc đẩy hình thành các mô hình hợp tác, liên kết trong sản xuất và tiêu thụ sản phẩm nông nghiệp; từng bước nâng cao vai trò của doanh nghiệp, hợp tác xã trong tổ chức sản xuất theo chuỗi, góp phần chuyển đổi tư duy từ sản xuất nhỏ lẻ sang sản xuất có liên kết. Tuy nhiên, trong bối cảnh phát triển mới của ngành nông nghiệp, yêu cầu tái cơ cấu ngành, hội nhập kinh tế quốc tế ngày càng sâu rộng và sự thay đổi nhanh chóng của yêu cầu thị trường, Nghị định số 98/2018/NĐ-CP đã bộc lộ nhiều hạn chế, bất cập, không còn phù hợp với thực tiễn phát triển nông nghiệp theo hướng hiện đại, bền vững. Cụ thể như sau:</w:t>
      </w:r>
    </w:p>
    <w:p w14:paraId="52085FC1">
      <w:pPr>
        <w:spacing w:before="120" w:after="0" w:line="240" w:lineRule="auto"/>
        <w:ind w:firstLine="540"/>
        <w:jc w:val="both"/>
        <w:rPr>
          <w:rFonts w:hint="default" w:ascii="Times New Roman" w:hAnsi="Times New Roman" w:eastAsia="Times New Roman" w:cs="Times New Roman"/>
          <w:i/>
          <w:iCs w:val="0"/>
          <w:color w:val="000000"/>
          <w:sz w:val="28"/>
        </w:rPr>
      </w:pPr>
      <w:r>
        <w:rPr>
          <w:rFonts w:hint="default" w:ascii="Times New Roman" w:hAnsi="Times New Roman" w:eastAsia="Times New Roman" w:cs="Times New Roman"/>
          <w:i/>
          <w:iCs w:val="0"/>
          <w:color w:val="000000"/>
          <w:sz w:val="28"/>
        </w:rPr>
        <w:t>(i) Cách tiếp cận chính sách còn đơn giản, chưa theo đầy đủ tư duy chuỗi giá trị nông nghiệp hiện đại</w:t>
      </w:r>
    </w:p>
    <w:p w14:paraId="1EE097E1">
      <w:pPr>
        <w:spacing w:before="120" w:after="0" w:line="240" w:lineRule="auto"/>
        <w:ind w:firstLine="540"/>
        <w:jc w:val="both"/>
        <w:rPr>
          <w:rFonts w:hint="default" w:ascii="Times New Roman" w:hAnsi="Times New Roman" w:eastAsia="Times New Roman" w:cs="Times New Roman"/>
          <w:i w:val="0"/>
          <w:iCs/>
          <w:color w:val="000000"/>
          <w:sz w:val="28"/>
        </w:rPr>
      </w:pPr>
      <w:r>
        <w:rPr>
          <w:rFonts w:hint="default" w:ascii="Times New Roman" w:hAnsi="Times New Roman" w:eastAsia="Times New Roman" w:cs="Times New Roman"/>
          <w:i w:val="0"/>
          <w:iCs/>
          <w:color w:val="000000"/>
          <w:sz w:val="28"/>
        </w:rPr>
        <w:t>Nghị định số 98/2018/NĐ-CP được xây dựng trong bối cảnh liên kết sản xuất nông nghiệp còn sơ khai, do đó cách tiếp cận chủ yếu dựa trên tư duy “liên kết sản xuất</w:t>
      </w:r>
      <w:r>
        <w:rPr>
          <w:rFonts w:hint="default" w:ascii="Times New Roman" w:hAnsi="Times New Roman" w:eastAsia="Times New Roman" w:cs="Times New Roman"/>
          <w:i w:val="0"/>
          <w:iCs/>
          <w:color w:val="000000"/>
          <w:sz w:val="28"/>
          <w:lang w:val="en-US"/>
        </w:rPr>
        <w:t>,</w:t>
      </w:r>
      <w:r>
        <w:rPr>
          <w:rFonts w:hint="default" w:ascii="Times New Roman" w:hAnsi="Times New Roman" w:eastAsia="Times New Roman" w:cs="Times New Roman"/>
          <w:i w:val="0"/>
          <w:iCs/>
          <w:color w:val="000000"/>
          <w:sz w:val="28"/>
        </w:rPr>
        <w:t xml:space="preserve"> tiêu thụ”, tập trung vào hợp đồng bao tiêu sản phẩm giữa doanh nghiệp với nông dân hoặc hợp tác xã. Cách tiếp cận này bước đầu góp phần hạn chế tình trạng sản xuất manh mún, thiếu đầu ra ổn định, tuy nhiên chưa phản ánh đầy đủ bản chất của chuỗi giá trị nông nghiệp hiện đại.</w:t>
      </w:r>
    </w:p>
    <w:p w14:paraId="53BBC2F7">
      <w:pPr>
        <w:spacing w:before="120" w:after="0" w:line="240" w:lineRule="auto"/>
        <w:ind w:firstLine="540"/>
        <w:jc w:val="both"/>
        <w:rPr>
          <w:rFonts w:hint="default" w:ascii="Times New Roman" w:hAnsi="Times New Roman" w:eastAsia="Times New Roman" w:cs="Times New Roman"/>
          <w:i w:val="0"/>
          <w:iCs/>
          <w:color w:val="000000"/>
          <w:sz w:val="28"/>
        </w:rPr>
      </w:pPr>
      <w:r>
        <w:rPr>
          <w:rFonts w:hint="default" w:ascii="Times New Roman" w:hAnsi="Times New Roman" w:eastAsia="Times New Roman" w:cs="Times New Roman"/>
          <w:i w:val="0"/>
          <w:iCs/>
          <w:color w:val="000000"/>
          <w:sz w:val="28"/>
        </w:rPr>
        <w:t>Trong khi đó, thực tiễn phát triển nông nghiệp hiện nay đòi hỏi tổ chức sản xuất theo chuỗi giá trị toàn diện, bao gồm đồng bộ các khâu từ cung ứng vật tư đầu vào, tổ chức sản xuất, thu hoạch, sơ chế, bảo quản, chế biến, logistics, thương mại và tiêu thụ sản phẩm; đồng thời phải gắn với các yêu cầu về tiêu chuẩn chất lượng, an toàn thực phẩm, truy xuất nguồn gốc, quản trị dữ liệu, minh bạch thông tin và phân chia lợi ích, rủi ro giữa các tác nhân trong chuỗi.</w:t>
      </w:r>
    </w:p>
    <w:p w14:paraId="20DDA03B">
      <w:pPr>
        <w:spacing w:before="120" w:after="0" w:line="240" w:lineRule="auto"/>
        <w:ind w:firstLine="540"/>
        <w:jc w:val="both"/>
        <w:rPr>
          <w:rFonts w:hint="default" w:ascii="Times New Roman" w:hAnsi="Times New Roman" w:eastAsia="Times New Roman" w:cs="Times New Roman"/>
          <w:i w:val="0"/>
          <w:iCs/>
          <w:color w:val="000000"/>
          <w:sz w:val="28"/>
        </w:rPr>
      </w:pPr>
      <w:r>
        <w:rPr>
          <w:rFonts w:hint="default" w:ascii="Times New Roman" w:hAnsi="Times New Roman" w:eastAsia="Times New Roman" w:cs="Times New Roman"/>
          <w:i w:val="0"/>
          <w:iCs/>
          <w:color w:val="000000"/>
          <w:sz w:val="28"/>
        </w:rPr>
        <w:t>Do cách tiếp cận chính sách còn tương đối đơn giản, nhiều mô hình liên kết triển khai theo Nghị định số 98/2018/NĐ-CP trên thực tế chỉ dừng lại ở liên kết thu mua sản phẩm hoặc hợp đồng đầu ra ngắn hạn, chưa hình thành được các chuỗi giá trị có tổ chức, có nền tảng quản trị và cam kết dài hạn. Điều này làm cho tính ổn định và bền vững của liên kết còn thấp, dễ bị phá vỡ khi thị trường biến động.</w:t>
      </w:r>
    </w:p>
    <w:p w14:paraId="52B25DA3">
      <w:pPr>
        <w:spacing w:before="120" w:after="0" w:line="240" w:lineRule="auto"/>
        <w:ind w:firstLine="540"/>
        <w:jc w:val="both"/>
        <w:rPr>
          <w:rFonts w:hint="default" w:ascii="Times New Roman" w:hAnsi="Times New Roman" w:eastAsia="Times New Roman" w:cs="Times New Roman"/>
          <w:i/>
          <w:iCs w:val="0"/>
          <w:color w:val="000000"/>
          <w:sz w:val="28"/>
        </w:rPr>
      </w:pPr>
      <w:r>
        <w:rPr>
          <w:rFonts w:hint="default" w:ascii="Times New Roman" w:hAnsi="Times New Roman" w:eastAsia="Times New Roman" w:cs="Times New Roman"/>
          <w:i/>
          <w:iCs w:val="0"/>
          <w:color w:val="000000"/>
          <w:sz w:val="28"/>
        </w:rPr>
        <w:t>(ii) Chính sách chưa phản ánh đầy đủ thực tiễn tổ chức thị trường nông sản và thiếu tính linh hoạt theo ngành hàng, vùng miền</w:t>
      </w:r>
    </w:p>
    <w:p w14:paraId="0DA44EDE">
      <w:pPr>
        <w:spacing w:before="120" w:after="0" w:line="240" w:lineRule="auto"/>
        <w:ind w:firstLine="540"/>
        <w:jc w:val="both"/>
        <w:rPr>
          <w:rFonts w:hint="default" w:ascii="Times New Roman" w:hAnsi="Times New Roman" w:eastAsia="Times New Roman" w:cs="Times New Roman"/>
          <w:i w:val="0"/>
          <w:iCs/>
          <w:color w:val="000000"/>
          <w:sz w:val="28"/>
        </w:rPr>
      </w:pPr>
      <w:r>
        <w:rPr>
          <w:rFonts w:hint="default" w:ascii="Times New Roman" w:hAnsi="Times New Roman" w:eastAsia="Times New Roman" w:cs="Times New Roman"/>
          <w:i w:val="0"/>
          <w:iCs/>
          <w:color w:val="000000"/>
          <w:sz w:val="28"/>
        </w:rPr>
        <w:t>Thực tế tổ chức thị trường nông sản Việt Nam có sự tham gia của nhiều tác nhân với vai trò khác nhau như hộ nông dân, hợp tác xã, doanh nghiệp, thương lái, đại lý thu mua, cơ sở sơ chế, đơn vị logistics, tổ chức tín dụng, bảo hiểm, hiệp hội ngành hàng và các tổ chức hỗ trợ kỹ thuật. Tuy nhiên, Nghị định số 98/2018/NĐ-CP chủ yếu xác định các chủ thể tham gia liên kết là nông dân, hợp tác xã và doanh nghiệp; chưa bao quát đầy đủ các lực lượng trung gian có vai trò quan trọng trong tổ chức thu mua, lưu thông hàng hóa, kết nối thị trường và điều phối chuỗi cung ứng nông sản.</w:t>
      </w:r>
      <w:r>
        <w:rPr>
          <w:rFonts w:hint="default" w:ascii="Times New Roman" w:hAnsi="Times New Roman" w:eastAsia="Times New Roman" w:cs="Times New Roman"/>
          <w:i w:val="0"/>
          <w:iCs/>
          <w:color w:val="000000"/>
          <w:sz w:val="28"/>
          <w:lang w:val="en-US"/>
        </w:rPr>
        <w:t xml:space="preserve"> </w:t>
      </w:r>
      <w:r>
        <w:rPr>
          <w:rFonts w:hint="default" w:ascii="Times New Roman" w:hAnsi="Times New Roman" w:eastAsia="Times New Roman" w:cs="Times New Roman"/>
          <w:i w:val="0"/>
          <w:iCs/>
          <w:color w:val="000000"/>
          <w:sz w:val="28"/>
        </w:rPr>
        <w:t>Khoảng trống thể chế này dẫn đến thực tế nhiều mô hình liên kết đang vận hành hiệu quả nhưng không đáp ứng đầy đủ điều kiện để tiếp cận chính sách hỗ trợ của Nhà nước, đặc biệt đối với các mô hình liên kết mở, liên kết đa tác nhân hoặc mô hình có vai trò đáng kể của thương lái, doanh nghiệp logistics, đơn vị chế biến trung gian.</w:t>
      </w:r>
    </w:p>
    <w:p w14:paraId="2345FBB0">
      <w:pPr>
        <w:spacing w:before="120" w:after="0" w:line="240" w:lineRule="auto"/>
        <w:ind w:firstLine="540"/>
        <w:jc w:val="both"/>
        <w:rPr>
          <w:rFonts w:hint="default" w:ascii="Times New Roman" w:hAnsi="Times New Roman" w:eastAsia="Times New Roman" w:cs="Times New Roman"/>
          <w:i w:val="0"/>
          <w:iCs/>
          <w:color w:val="000000"/>
          <w:sz w:val="28"/>
        </w:rPr>
      </w:pPr>
      <w:r>
        <w:rPr>
          <w:rFonts w:hint="default" w:ascii="Times New Roman" w:hAnsi="Times New Roman" w:eastAsia="Times New Roman" w:cs="Times New Roman"/>
          <w:i w:val="0"/>
          <w:iCs/>
          <w:color w:val="000000"/>
          <w:sz w:val="28"/>
        </w:rPr>
        <w:t>Bên cạnh đó, cơ chế hỗ trợ của Nghị định còn mang tính tương đối đồng nhất, chưa tính đến sự khác biệt lớn về đặc điểm sinh học, chu kỳ sản xuất, quy mô, tổ chức thị trường, tính mùa vụ và yêu cầu kỹ thuật giữa các ngành hàng như lúa gạo, rau quả, cây công nghiệp, chăn nuôi, lâm nghiệp, thủy sản hoặc diêm nghiệp. Một số quy định còn thiếu tính linh hoạt để thích ứng với điều kiện sản xuất khác nhau giữa các vùng sinh thái, vùng nguyên liệu và điều kiện phát triển kinh tế – xã hội của địa phương.</w:t>
      </w:r>
    </w:p>
    <w:p w14:paraId="16255818">
      <w:pPr>
        <w:spacing w:before="120" w:after="0" w:line="240" w:lineRule="auto"/>
        <w:ind w:firstLine="540"/>
        <w:jc w:val="both"/>
        <w:rPr>
          <w:rFonts w:hint="default" w:ascii="Times New Roman" w:hAnsi="Times New Roman" w:eastAsia="Times New Roman" w:cs="Times New Roman"/>
          <w:i/>
          <w:iCs w:val="0"/>
          <w:color w:val="000000"/>
          <w:sz w:val="28"/>
        </w:rPr>
      </w:pPr>
      <w:r>
        <w:rPr>
          <w:rFonts w:hint="default" w:ascii="Times New Roman" w:hAnsi="Times New Roman" w:eastAsia="Times New Roman" w:cs="Times New Roman"/>
          <w:i/>
          <w:iCs w:val="0"/>
          <w:color w:val="000000"/>
          <w:sz w:val="28"/>
        </w:rPr>
        <w:t>(iii) Tổ chức liên kết còn hình thức, thiếu nền tảng thể chế để bảo đảm tính bền vững</w:t>
      </w:r>
    </w:p>
    <w:p w14:paraId="04DE6C2C">
      <w:pPr>
        <w:spacing w:before="120" w:after="0" w:line="240" w:lineRule="auto"/>
        <w:ind w:firstLine="540"/>
        <w:jc w:val="both"/>
        <w:rPr>
          <w:rFonts w:hint="default" w:ascii="Times New Roman" w:hAnsi="Times New Roman" w:eastAsia="Times New Roman" w:cs="Times New Roman"/>
          <w:i w:val="0"/>
          <w:iCs/>
          <w:color w:val="000000"/>
          <w:sz w:val="28"/>
        </w:rPr>
      </w:pPr>
      <w:r>
        <w:rPr>
          <w:rFonts w:hint="default" w:ascii="Times New Roman" w:hAnsi="Times New Roman" w:eastAsia="Times New Roman" w:cs="Times New Roman"/>
          <w:i w:val="0"/>
          <w:iCs/>
          <w:color w:val="000000"/>
          <w:sz w:val="28"/>
        </w:rPr>
        <w:t>Một bộ phận mô hình liên kết được triển khai theo Nghị định số 98/2018/NĐ-CP còn mang tính hình thức, chủ yếu nhằm đáp ứng điều kiện để tiếp cận nguồn hỗ trợ từ ngân sách nhà nước mà chưa thực sự dựa trên động lực kinh tế thị trường và lợi ích dài hạn giữa các bên tham gia.</w:t>
      </w:r>
    </w:p>
    <w:p w14:paraId="33B2128E">
      <w:pPr>
        <w:spacing w:before="120" w:after="0" w:line="240" w:lineRule="auto"/>
        <w:ind w:firstLine="540"/>
        <w:jc w:val="both"/>
        <w:rPr>
          <w:rFonts w:hint="default" w:ascii="Times New Roman" w:hAnsi="Times New Roman" w:eastAsia="Times New Roman" w:cs="Times New Roman"/>
          <w:i w:val="0"/>
          <w:iCs/>
          <w:color w:val="000000"/>
          <w:sz w:val="28"/>
        </w:rPr>
      </w:pPr>
      <w:r>
        <w:rPr>
          <w:rFonts w:hint="default" w:ascii="Times New Roman" w:hAnsi="Times New Roman" w:eastAsia="Times New Roman" w:cs="Times New Roman"/>
          <w:i w:val="0"/>
          <w:iCs/>
          <w:color w:val="000000"/>
          <w:sz w:val="28"/>
        </w:rPr>
        <w:t>Nhiều hợp đồng liên kết còn đơn giản, thiếu cơ chế ràng buộc thực chất về sản lượng, chất lượng, phương thức xác định giá, trách nhiệm tiêu thụ, chia sẻ lợi ích và phân bổ rủi ro. Cơ chế bảo đảm thực hiện hợp đồng, xử lý tranh chấp, chế tài đối với hành vi vi phạm hoặc phá vỡ liên kết chưa rõ ràng và chưa đủ mạnh.</w:t>
      </w:r>
    </w:p>
    <w:p w14:paraId="71AD06A2">
      <w:pPr>
        <w:spacing w:before="120" w:after="0" w:line="240" w:lineRule="auto"/>
        <w:ind w:firstLine="540"/>
        <w:jc w:val="both"/>
        <w:rPr>
          <w:rFonts w:hint="default" w:ascii="Times New Roman" w:hAnsi="Times New Roman" w:eastAsia="Times New Roman" w:cs="Times New Roman"/>
          <w:i w:val="0"/>
          <w:iCs/>
          <w:color w:val="000000"/>
          <w:sz w:val="28"/>
        </w:rPr>
      </w:pPr>
      <w:r>
        <w:rPr>
          <w:rFonts w:hint="default" w:ascii="Times New Roman" w:hAnsi="Times New Roman" w:eastAsia="Times New Roman" w:cs="Times New Roman"/>
          <w:i w:val="0"/>
          <w:iCs/>
          <w:color w:val="000000"/>
          <w:sz w:val="28"/>
        </w:rPr>
        <w:t xml:space="preserve">Trong điều kiện thị trường biến động mạnh về giá cả hoặc cung </w:t>
      </w:r>
      <w:r>
        <w:rPr>
          <w:rFonts w:hint="default" w:ascii="Times New Roman" w:hAnsi="Times New Roman" w:eastAsia="Times New Roman" w:cs="Times New Roman"/>
          <w:i w:val="0"/>
          <w:iCs/>
          <w:color w:val="000000"/>
          <w:sz w:val="28"/>
          <w:lang w:val="en-US"/>
        </w:rPr>
        <w:t>-</w:t>
      </w:r>
      <w:r>
        <w:rPr>
          <w:rFonts w:hint="default" w:ascii="Times New Roman" w:hAnsi="Times New Roman" w:eastAsia="Times New Roman" w:cs="Times New Roman"/>
          <w:i w:val="0"/>
          <w:iCs/>
          <w:color w:val="000000"/>
          <w:sz w:val="28"/>
        </w:rPr>
        <w:t xml:space="preserve"> cầu, tình trạng phá vỡ cam kết, bán hàng ngoài hợp đồng hoặc từ chối thu mua vẫn xảy ra tương đối phổ biến ở nhiều ngành hàng, ảnh hưởng đến niềm tin giữa các bên tham gia liên kết. Điều này cho thấy chính sách hiện hành chưa tạo lập được nền tảng thể chế đủ mạnh để thúc đẩy hình thành các chuỗi giá trị có tổ chức, ổn định và bền vững trong dài hạn.</w:t>
      </w:r>
    </w:p>
    <w:p w14:paraId="29BAA2C0">
      <w:pPr>
        <w:spacing w:before="120" w:after="0" w:line="240" w:lineRule="auto"/>
        <w:ind w:firstLine="540"/>
        <w:jc w:val="both"/>
        <w:rPr>
          <w:rFonts w:hint="default" w:ascii="Times New Roman" w:hAnsi="Times New Roman" w:eastAsia="Times New Roman" w:cs="Times New Roman"/>
          <w:i/>
          <w:iCs w:val="0"/>
          <w:color w:val="000000"/>
          <w:sz w:val="28"/>
        </w:rPr>
      </w:pPr>
      <w:r>
        <w:rPr>
          <w:rFonts w:hint="default" w:ascii="Times New Roman" w:hAnsi="Times New Roman" w:eastAsia="Times New Roman" w:cs="Times New Roman"/>
          <w:i/>
          <w:iCs w:val="0"/>
          <w:color w:val="000000"/>
          <w:sz w:val="28"/>
        </w:rPr>
        <w:t>(iv) Chưa hình thành được vùng nguyên liệu tập trung, quy mô lớn, đạt chuẩn phục vụ chế biến và xuất khẩu</w:t>
      </w:r>
    </w:p>
    <w:p w14:paraId="0EE06BBC">
      <w:pPr>
        <w:spacing w:before="120" w:after="0" w:line="240" w:lineRule="auto"/>
        <w:ind w:firstLine="540"/>
        <w:jc w:val="both"/>
        <w:rPr>
          <w:rFonts w:hint="default" w:ascii="Times New Roman" w:hAnsi="Times New Roman" w:eastAsia="Times New Roman" w:cs="Times New Roman"/>
          <w:i w:val="0"/>
          <w:iCs/>
          <w:color w:val="000000"/>
          <w:sz w:val="28"/>
        </w:rPr>
      </w:pPr>
      <w:r>
        <w:rPr>
          <w:rFonts w:hint="default" w:ascii="Times New Roman" w:hAnsi="Times New Roman" w:eastAsia="Times New Roman" w:cs="Times New Roman"/>
          <w:i w:val="0"/>
          <w:iCs/>
          <w:color w:val="000000"/>
          <w:sz w:val="28"/>
        </w:rPr>
        <w:t xml:space="preserve">Một trong những điều kiện cốt lõi của phát triển chuỗi giá trị nông nghiệp hiện đại là phải hình thành được vùng nguyên liệu tập trung, có quy mô phù hợp, đồng nhất về giống, quy trình kỹ thuật, chất lượng sản phẩm và khả năng </w:t>
      </w:r>
      <w:r>
        <w:rPr>
          <w:rFonts w:hint="default" w:ascii="Times New Roman" w:hAnsi="Times New Roman" w:eastAsia="Times New Roman" w:cs="Times New Roman"/>
          <w:i w:val="0"/>
          <w:iCs/>
          <w:color w:val="000000"/>
          <w:sz w:val="28"/>
          <w:lang w:val="en-US"/>
        </w:rPr>
        <w:t>TXNG</w:t>
      </w:r>
      <w:r>
        <w:rPr>
          <w:rFonts w:hint="default" w:ascii="Times New Roman" w:hAnsi="Times New Roman" w:eastAsia="Times New Roman" w:cs="Times New Roman"/>
          <w:i w:val="0"/>
          <w:iCs/>
          <w:color w:val="000000"/>
          <w:sz w:val="28"/>
        </w:rPr>
        <w:t>.</w:t>
      </w:r>
    </w:p>
    <w:p w14:paraId="2F4FF500">
      <w:pPr>
        <w:spacing w:before="120" w:after="0" w:line="240" w:lineRule="auto"/>
        <w:ind w:firstLine="540"/>
        <w:jc w:val="both"/>
        <w:rPr>
          <w:rFonts w:hint="default" w:ascii="Times New Roman" w:hAnsi="Times New Roman" w:eastAsia="Times New Roman" w:cs="Times New Roman"/>
          <w:i w:val="0"/>
          <w:iCs/>
          <w:color w:val="000000"/>
          <w:sz w:val="28"/>
        </w:rPr>
      </w:pPr>
      <w:r>
        <w:rPr>
          <w:rFonts w:hint="default" w:ascii="Times New Roman" w:hAnsi="Times New Roman" w:eastAsia="Times New Roman" w:cs="Times New Roman"/>
          <w:i w:val="0"/>
          <w:iCs/>
          <w:color w:val="000000"/>
          <w:sz w:val="28"/>
        </w:rPr>
        <w:t>Tuy nhiên, Nghị định số 98/2018/NĐ-CP chưa có cơ chế, chính sách riêng và đủ mạnh để thúc đẩy phát triển vùng nguyên liệu đạt chuẩn gắn với liên kết chuỗi giá trị. Việc hỗ trợ phát triển hạ tầng vùng nguyên liệu, quản lý mã số vùng trồng, vùng nuôi, kiểm soát chất lượng, hệ thống truy xuất nguồn gốc hoặc tổ chức sản xuất theo tiêu chuẩn còn phân tán, thiếu đồng bộ.</w:t>
      </w:r>
    </w:p>
    <w:p w14:paraId="70BEC950">
      <w:pPr>
        <w:spacing w:before="120" w:after="0" w:line="240" w:lineRule="auto"/>
        <w:ind w:firstLine="540"/>
        <w:jc w:val="both"/>
        <w:rPr>
          <w:rFonts w:hint="default" w:ascii="Times New Roman" w:hAnsi="Times New Roman" w:eastAsia="Times New Roman" w:cs="Times New Roman"/>
          <w:i w:val="0"/>
          <w:iCs/>
          <w:color w:val="000000"/>
          <w:sz w:val="28"/>
        </w:rPr>
      </w:pPr>
      <w:r>
        <w:rPr>
          <w:rFonts w:hint="default" w:ascii="Times New Roman" w:hAnsi="Times New Roman" w:eastAsia="Times New Roman" w:cs="Times New Roman"/>
          <w:i w:val="0"/>
          <w:iCs/>
          <w:color w:val="000000"/>
          <w:sz w:val="28"/>
        </w:rPr>
        <w:t>Nhiều hợp tác xã, doanh nghiệp và người dân thiếu nguồn lực để tổ chức lại sản xuất theo vùng nguyên liệu tập trung, trong khi quy mô đất đai nhỏ lẻ, phân tán và liên kết giữa các hộ sản xuất còn lỏng lẻo. Hệ quả là nhiều chuỗi liên kết chưa đáp ứng được yêu cầu về số lượng, chất lượng và tính đồng nhất của nguyên liệu, làm giảm khả năng tham gia vào chuỗi cung ứng toàn cầu, nhất là đối với các thị trường xuất khẩu có tiêu chuẩn cao.</w:t>
      </w:r>
    </w:p>
    <w:p w14:paraId="46C5A632">
      <w:pPr>
        <w:spacing w:before="120" w:after="0" w:line="240" w:lineRule="auto"/>
        <w:ind w:firstLine="540"/>
        <w:jc w:val="both"/>
        <w:rPr>
          <w:rFonts w:hint="default" w:ascii="Times New Roman" w:hAnsi="Times New Roman" w:eastAsia="Times New Roman" w:cs="Times New Roman"/>
          <w:i/>
          <w:iCs w:val="0"/>
          <w:color w:val="000000"/>
          <w:sz w:val="28"/>
        </w:rPr>
      </w:pPr>
      <w:r>
        <w:rPr>
          <w:rFonts w:hint="default" w:ascii="Times New Roman" w:hAnsi="Times New Roman" w:eastAsia="Times New Roman" w:cs="Times New Roman"/>
          <w:i/>
          <w:iCs w:val="0"/>
          <w:color w:val="000000"/>
          <w:sz w:val="28"/>
        </w:rPr>
        <w:t>(v) Chính sách hỗ trợ còn dàn trải, chưa đủ mạnh, chưa đúng trọng tâm và chưa theo kịp yêu cầu phát triển nông nghiệp hiện đại</w:t>
      </w:r>
    </w:p>
    <w:p w14:paraId="21AA0169">
      <w:pPr>
        <w:spacing w:before="120" w:after="0" w:line="240" w:lineRule="auto"/>
        <w:ind w:firstLine="540"/>
        <w:jc w:val="both"/>
        <w:rPr>
          <w:rFonts w:hint="default" w:ascii="Times New Roman" w:hAnsi="Times New Roman" w:eastAsia="Times New Roman" w:cs="Times New Roman"/>
          <w:i w:val="0"/>
          <w:iCs/>
          <w:color w:val="000000"/>
          <w:sz w:val="28"/>
        </w:rPr>
      </w:pPr>
      <w:r>
        <w:rPr>
          <w:rFonts w:hint="default" w:ascii="Times New Roman" w:hAnsi="Times New Roman" w:eastAsia="Times New Roman" w:cs="Times New Roman"/>
          <w:i w:val="0"/>
          <w:iCs/>
          <w:color w:val="000000"/>
          <w:sz w:val="28"/>
        </w:rPr>
        <w:t>Mặc dù Nghị định số 98/2018/NĐ-CP đã tạo cơ sở pháp lý để hỗ trợ các dự án liên kết, tuy nhiên mức hỗ trợ đầu tư hạ tầng còn thấp (tối đa 30% tổng vốn đầu tư và không quá 10 tỷ đồng/dự án) chưa tương xứng với nhu cầu đầu tư lớn trong phát triển vùng nguyên liệu, hệ thống sơ chế, bảo quản, logistics và hạ tầng phục vụ chuỗi giá trị.</w:t>
      </w:r>
    </w:p>
    <w:p w14:paraId="100F0C46">
      <w:pPr>
        <w:spacing w:before="120" w:after="0" w:line="240" w:lineRule="auto"/>
        <w:ind w:firstLine="540"/>
        <w:jc w:val="both"/>
        <w:rPr>
          <w:rFonts w:hint="default" w:ascii="Times New Roman" w:hAnsi="Times New Roman" w:eastAsia="Times New Roman" w:cs="Times New Roman"/>
          <w:i w:val="0"/>
          <w:iCs/>
          <w:color w:val="000000"/>
          <w:sz w:val="28"/>
        </w:rPr>
      </w:pPr>
      <w:r>
        <w:rPr>
          <w:rFonts w:hint="default" w:ascii="Times New Roman" w:hAnsi="Times New Roman" w:eastAsia="Times New Roman" w:cs="Times New Roman"/>
          <w:i w:val="0"/>
          <w:iCs/>
          <w:color w:val="000000"/>
          <w:sz w:val="28"/>
        </w:rPr>
        <w:t>Nội dung hỗ trợ còn tương đối hẹp, chủ yếu tập trung vào hạ tầng sản xuất và một số nội dung đào tạo, chuyển giao kỹ thuật; chưa bao quát đầy đủ các yếu tố ngày càng trở nên quan trọng trong phát triển nông nghiệp hiện đại như logistics nông sản, dữ liệu chuỗi giá trị, chuyển đổi số, truy xuất nguồn gốc điện tử, quản trị chuỗi, chuyển đổi xanh, kinh tế tuần hoàn, đo đếm phát thải và thích ứng với biến đổi khí hậu.</w:t>
      </w:r>
    </w:p>
    <w:p w14:paraId="73E1FE8F">
      <w:pPr>
        <w:spacing w:before="120" w:after="0" w:line="240" w:lineRule="auto"/>
        <w:ind w:firstLine="540"/>
        <w:jc w:val="both"/>
        <w:rPr>
          <w:rFonts w:hint="default" w:ascii="Times New Roman" w:hAnsi="Times New Roman" w:eastAsia="Times New Roman" w:cs="Times New Roman"/>
          <w:i w:val="0"/>
          <w:iCs/>
          <w:color w:val="000000"/>
          <w:sz w:val="28"/>
        </w:rPr>
      </w:pPr>
      <w:r>
        <w:rPr>
          <w:rFonts w:hint="default" w:ascii="Times New Roman" w:hAnsi="Times New Roman" w:eastAsia="Times New Roman" w:cs="Times New Roman"/>
          <w:i w:val="0"/>
          <w:iCs/>
          <w:color w:val="000000"/>
          <w:sz w:val="28"/>
        </w:rPr>
        <w:t>Mặt khác, cơ chế hỗ trợ còn mang tính dàn trải, chưa ưu tiên đúng mức đối với các chuỗi giá trị có tác động lan tỏa lớn, vùng nguyên liệu tập trung hoặc ngành hàng chiến lược; một số quy định còn cứng nhắc (như cơ chế hỗ trợ chủ yếu thông qua hợp tác xã) làm giảm tính linh hoạt và khả năng tiếp cận của các mô hình liên kết đa dạng trong thực tiễn.</w:t>
      </w:r>
    </w:p>
    <w:p w14:paraId="0FC534C2">
      <w:pPr>
        <w:spacing w:before="120" w:after="0" w:line="240" w:lineRule="auto"/>
        <w:ind w:firstLine="540"/>
        <w:jc w:val="both"/>
        <w:rPr>
          <w:rFonts w:hint="default" w:ascii="Times New Roman" w:hAnsi="Times New Roman" w:eastAsia="Times New Roman" w:cs="Times New Roman"/>
          <w:i/>
          <w:iCs w:val="0"/>
          <w:color w:val="000000"/>
          <w:sz w:val="28"/>
        </w:rPr>
      </w:pPr>
      <w:r>
        <w:rPr>
          <w:rFonts w:hint="default" w:ascii="Times New Roman" w:hAnsi="Times New Roman" w:eastAsia="Times New Roman" w:cs="Times New Roman"/>
          <w:i/>
          <w:iCs w:val="0"/>
          <w:color w:val="000000"/>
          <w:sz w:val="28"/>
        </w:rPr>
        <w:t>(vi) Điều kiện, thủ tục hỗ trợ còn phức tạp, cứng nhắc, khó tiếp cận</w:t>
      </w:r>
    </w:p>
    <w:p w14:paraId="634BC30E">
      <w:pPr>
        <w:spacing w:before="120" w:after="0" w:line="240" w:lineRule="auto"/>
        <w:ind w:firstLine="540"/>
        <w:jc w:val="both"/>
        <w:rPr>
          <w:rFonts w:hint="default" w:ascii="Times New Roman" w:hAnsi="Times New Roman" w:eastAsia="Times New Roman" w:cs="Times New Roman"/>
          <w:i w:val="0"/>
          <w:iCs/>
          <w:color w:val="000000"/>
          <w:sz w:val="28"/>
        </w:rPr>
      </w:pPr>
      <w:r>
        <w:rPr>
          <w:rFonts w:hint="default" w:ascii="Times New Roman" w:hAnsi="Times New Roman" w:eastAsia="Times New Roman" w:cs="Times New Roman"/>
          <w:i w:val="0"/>
          <w:iCs/>
          <w:color w:val="000000"/>
          <w:sz w:val="28"/>
        </w:rPr>
        <w:t>Một số điều kiện hỗ trợ theo Nghị định số 98/2018/NĐ-CP chưa thực sự phù hợp với đặc thù sản xuất nông nghiệp đa dạng hiện nay. Quy định về thời gian liên kết tối thiểu (03</w:t>
      </w:r>
      <w:r>
        <w:rPr>
          <w:rFonts w:hint="default" w:ascii="Times New Roman" w:hAnsi="Times New Roman" w:eastAsia="Times New Roman" w:cs="Times New Roman"/>
          <w:i w:val="0"/>
          <w:iCs/>
          <w:color w:val="000000"/>
          <w:sz w:val="28"/>
          <w:lang w:val="en-US"/>
        </w:rPr>
        <w:t>-</w:t>
      </w:r>
      <w:r>
        <w:rPr>
          <w:rFonts w:hint="default" w:ascii="Times New Roman" w:hAnsi="Times New Roman" w:eastAsia="Times New Roman" w:cs="Times New Roman"/>
          <w:i w:val="0"/>
          <w:iCs/>
          <w:color w:val="000000"/>
          <w:sz w:val="28"/>
        </w:rPr>
        <w:t>05 năm) chưa phù hợp đối với nhiều ngành hàng có tính mùa vụ, rủi ro cao hoặc chịu biến động nhanh của thị trường.</w:t>
      </w:r>
    </w:p>
    <w:p w14:paraId="22A402CB">
      <w:pPr>
        <w:spacing w:before="120" w:after="0" w:line="240" w:lineRule="auto"/>
        <w:ind w:firstLine="540"/>
        <w:jc w:val="both"/>
        <w:rPr>
          <w:rFonts w:hint="default" w:ascii="Times New Roman" w:hAnsi="Times New Roman" w:eastAsia="Times New Roman" w:cs="Times New Roman"/>
          <w:i w:val="0"/>
          <w:iCs/>
          <w:color w:val="000000"/>
          <w:sz w:val="28"/>
        </w:rPr>
      </w:pPr>
      <w:r>
        <w:rPr>
          <w:rFonts w:hint="default" w:ascii="Times New Roman" w:hAnsi="Times New Roman" w:eastAsia="Times New Roman" w:cs="Times New Roman"/>
          <w:i w:val="0"/>
          <w:iCs/>
          <w:color w:val="000000"/>
          <w:sz w:val="28"/>
        </w:rPr>
        <w:t>Bên cạnh đó, thủ tục hành chính còn tương đối phức tạp, hồ sơ nhiều, quy trình thẩm định</w:t>
      </w:r>
      <w:r>
        <w:rPr>
          <w:rFonts w:hint="default" w:ascii="Times New Roman" w:hAnsi="Times New Roman" w:eastAsia="Times New Roman" w:cs="Times New Roman"/>
          <w:i w:val="0"/>
          <w:iCs/>
          <w:color w:val="000000"/>
          <w:sz w:val="28"/>
          <w:lang w:val="en-US"/>
        </w:rPr>
        <w:t>,</w:t>
      </w:r>
      <w:r>
        <w:rPr>
          <w:rFonts w:hint="default" w:ascii="Times New Roman" w:hAnsi="Times New Roman" w:eastAsia="Times New Roman" w:cs="Times New Roman"/>
          <w:i w:val="0"/>
          <w:iCs/>
          <w:color w:val="000000"/>
          <w:sz w:val="28"/>
        </w:rPr>
        <w:t xml:space="preserve"> phê duyệt kéo dài, phải lồng ghép qua nhiều nguồn vốn, nhiều cấp trung gian, dẫn đến tiến độ giải ngân chậm, làm giảm tính hấp dẫn của chính sách. Nhiều hợp tác xã, doanh nghiệp nhỏ và hộ sản xuất chưa đủ năng lực xây dựng hồ sơ, phương án liên kết hoặc đáp ứng yêu cầu thủ tục để tiếp cận hỗ trợ.</w:t>
      </w:r>
    </w:p>
    <w:p w14:paraId="6D5427A5">
      <w:pPr>
        <w:spacing w:before="120" w:after="0" w:line="240" w:lineRule="auto"/>
        <w:ind w:firstLine="540"/>
        <w:jc w:val="both"/>
        <w:rPr>
          <w:rFonts w:hint="default" w:ascii="Times New Roman" w:hAnsi="Times New Roman" w:eastAsia="Times New Roman" w:cs="Times New Roman"/>
          <w:i w:val="0"/>
          <w:iCs/>
          <w:color w:val="000000"/>
          <w:sz w:val="28"/>
        </w:rPr>
      </w:pPr>
      <w:r>
        <w:rPr>
          <w:rFonts w:hint="default" w:ascii="Times New Roman" w:hAnsi="Times New Roman" w:eastAsia="Times New Roman" w:cs="Times New Roman"/>
          <w:i w:val="0"/>
          <w:iCs/>
          <w:color w:val="000000"/>
          <w:sz w:val="28"/>
        </w:rPr>
        <w:t>Ngoài ra, cơ chế phân cấp thực hiện chưa theo kịp yêu cầu đổi mới mô hình tổ chức chính quyền địa phương và yêu cầu quản trị phát triển vùng nguyên liệu hiện nay; chưa phát huy đầy đủ vai trò của chính quyền cơ sở trong hướng dẫn, tổ chức và giám sát thực hiện liên kết.</w:t>
      </w:r>
    </w:p>
    <w:p w14:paraId="0B793FEF">
      <w:pPr>
        <w:spacing w:before="120" w:after="0" w:line="240" w:lineRule="auto"/>
        <w:ind w:firstLine="540"/>
        <w:jc w:val="both"/>
        <w:rPr>
          <w:rFonts w:hint="default" w:ascii="Times New Roman" w:hAnsi="Times New Roman" w:eastAsia="Times New Roman" w:cs="Times New Roman"/>
          <w:i/>
          <w:iCs w:val="0"/>
          <w:color w:val="000000"/>
          <w:sz w:val="28"/>
        </w:rPr>
      </w:pPr>
      <w:r>
        <w:rPr>
          <w:rFonts w:hint="default" w:ascii="Times New Roman" w:hAnsi="Times New Roman" w:eastAsia="Times New Roman" w:cs="Times New Roman"/>
          <w:i/>
          <w:iCs w:val="0"/>
          <w:color w:val="000000"/>
          <w:sz w:val="28"/>
        </w:rPr>
        <w:t>(vii) Nội dung liên kết chưa theo kịp yêu cầu phát triển nông nghiệp hiện đại; chưa tích hợp đầy đủ chuyển đổi số, chuyển đổi xanh</w:t>
      </w:r>
    </w:p>
    <w:p w14:paraId="04C44ED8">
      <w:pPr>
        <w:spacing w:before="120" w:after="0" w:line="240" w:lineRule="auto"/>
        <w:ind w:firstLine="540"/>
        <w:jc w:val="both"/>
        <w:rPr>
          <w:rFonts w:hint="default" w:ascii="Times New Roman" w:hAnsi="Times New Roman" w:eastAsia="Times New Roman" w:cs="Times New Roman"/>
          <w:i w:val="0"/>
          <w:iCs/>
          <w:color w:val="000000"/>
          <w:sz w:val="28"/>
        </w:rPr>
      </w:pPr>
      <w:r>
        <w:rPr>
          <w:rFonts w:hint="default" w:ascii="Times New Roman" w:hAnsi="Times New Roman" w:eastAsia="Times New Roman" w:cs="Times New Roman"/>
          <w:i w:val="0"/>
          <w:iCs/>
          <w:color w:val="000000"/>
          <w:sz w:val="28"/>
        </w:rPr>
        <w:t>Nghị định số 98/2018/NĐ-CP được ban hành trong bối cảnh chuyển đổi số, chuyển đổi xanh và yêu cầu phát triển nông nghiệp phát thải thấp chưa trở thành xu hướng chính sách mạnh mẽ như hiện nay. Vì vậy, nhiều nội dung mới chưa được tích hợp hoặc tích hợp chưa đầy đủ trong chính sách liên kết.</w:t>
      </w:r>
      <w:r>
        <w:rPr>
          <w:rFonts w:hint="default" w:ascii="Times New Roman" w:hAnsi="Times New Roman" w:eastAsia="Times New Roman" w:cs="Times New Roman"/>
          <w:i w:val="0"/>
          <w:iCs/>
          <w:color w:val="000000"/>
          <w:sz w:val="28"/>
          <w:lang w:val="en-US"/>
        </w:rPr>
        <w:t xml:space="preserve"> </w:t>
      </w:r>
      <w:r>
        <w:rPr>
          <w:rFonts w:hint="default" w:ascii="Times New Roman" w:hAnsi="Times New Roman" w:eastAsia="Times New Roman" w:cs="Times New Roman"/>
          <w:i w:val="0"/>
          <w:iCs/>
          <w:color w:val="000000"/>
          <w:sz w:val="28"/>
        </w:rPr>
        <w:t>Cụ thể, Nghị định chưa quy định hoặc chưa có cơ chế khuyến khích đủ mạnh đối với việc áp dụng truy xuất nguồn gốc điện tử, quản trị dữ liệu chuỗi, hợp đồng điện tử, sàn giao dịch số, giám sát vùng nguyên liệu bằng công nghệ số, giảm phát thải khí nhà kính, sản xuất tuần hoàn, tiết kiệm tài nguyên và thích ứng với biến đổi khí hậu.</w:t>
      </w:r>
    </w:p>
    <w:p w14:paraId="6CCF5943">
      <w:pPr>
        <w:spacing w:before="120" w:after="0" w:line="240" w:lineRule="auto"/>
        <w:ind w:firstLine="540"/>
        <w:jc w:val="both"/>
        <w:rPr>
          <w:rFonts w:hint="default" w:ascii="Times New Roman" w:hAnsi="Times New Roman" w:eastAsia="Times New Roman" w:cs="Times New Roman"/>
          <w:i w:val="0"/>
          <w:iCs/>
          <w:color w:val="000000"/>
          <w:sz w:val="28"/>
        </w:rPr>
      </w:pPr>
      <w:r>
        <w:rPr>
          <w:rFonts w:hint="default" w:ascii="Times New Roman" w:hAnsi="Times New Roman" w:eastAsia="Times New Roman" w:cs="Times New Roman"/>
          <w:i w:val="0"/>
          <w:iCs/>
          <w:color w:val="000000"/>
          <w:sz w:val="28"/>
        </w:rPr>
        <w:t>Trong bối cảnh Việt Nam cam kết đạt phát thải ròng bằng “0” vào năm 2050, đồng thời phải đáp ứng các tiêu chuẩn ngày càng khắt khe của thị trường quốc tế liên quan đến môi trường, lao động và tính bền vững của chuỗi cung ứng, đây là khoảng trống chính sách lớn cần sớm được khắc phục.</w:t>
      </w:r>
    </w:p>
    <w:p w14:paraId="41C494CE">
      <w:pPr>
        <w:spacing w:before="120" w:after="0" w:line="240" w:lineRule="auto"/>
        <w:ind w:firstLine="540"/>
        <w:jc w:val="both"/>
        <w:rPr>
          <w:rFonts w:hint="default" w:ascii="Times New Roman" w:hAnsi="Times New Roman" w:eastAsia="Times New Roman" w:cs="Times New Roman"/>
          <w:i/>
          <w:iCs w:val="0"/>
          <w:color w:val="000000"/>
          <w:sz w:val="28"/>
        </w:rPr>
      </w:pPr>
      <w:r>
        <w:rPr>
          <w:rFonts w:hint="default" w:ascii="Times New Roman" w:hAnsi="Times New Roman" w:eastAsia="Times New Roman" w:cs="Times New Roman"/>
          <w:i/>
          <w:iCs w:val="0"/>
          <w:color w:val="000000"/>
          <w:sz w:val="28"/>
        </w:rPr>
        <w:t>(viii) Công cụ quản trị nhà nước, cơ chế phối hợp và hệ sinh thái hỗ trợ phát triển chuỗi giá trị còn hạn chế</w:t>
      </w:r>
    </w:p>
    <w:p w14:paraId="1F0B6689">
      <w:pPr>
        <w:spacing w:before="120" w:after="0" w:line="240" w:lineRule="auto"/>
        <w:ind w:firstLine="540"/>
        <w:jc w:val="both"/>
        <w:rPr>
          <w:rFonts w:hint="default" w:ascii="Times New Roman" w:hAnsi="Times New Roman" w:eastAsia="Times New Roman" w:cs="Times New Roman"/>
          <w:i w:val="0"/>
          <w:iCs/>
          <w:color w:val="000000"/>
          <w:sz w:val="28"/>
        </w:rPr>
      </w:pPr>
      <w:r>
        <w:rPr>
          <w:rFonts w:hint="default" w:ascii="Times New Roman" w:hAnsi="Times New Roman" w:eastAsia="Times New Roman" w:cs="Times New Roman"/>
          <w:i w:val="0"/>
          <w:iCs/>
          <w:color w:val="000000"/>
          <w:sz w:val="28"/>
        </w:rPr>
        <w:t>Nghị định số 98/2018/NĐ-CP chưa thiết lập được hệ thống cơ sở dữ liệu và công cụ quản trị thống nhất về các mô hình liên kết trên phạm vi toàn quốc. Công tác theo dõi, giám sát, đánh giá hiệu quả liên kết còn phân tán, thiếu dữ liệu thời gian thực và chưa hỗ trợ hiệu quả cho công tác hoạch định chính sách.</w:t>
      </w:r>
    </w:p>
    <w:p w14:paraId="1E9C8585">
      <w:pPr>
        <w:spacing w:before="120" w:after="0" w:line="240" w:lineRule="auto"/>
        <w:ind w:firstLine="540"/>
        <w:jc w:val="both"/>
        <w:rPr>
          <w:rFonts w:hint="default" w:ascii="Times New Roman" w:hAnsi="Times New Roman" w:eastAsia="Times New Roman" w:cs="Times New Roman"/>
          <w:i w:val="0"/>
          <w:iCs/>
          <w:color w:val="000000"/>
          <w:sz w:val="28"/>
        </w:rPr>
      </w:pPr>
    </w:p>
    <w:p w14:paraId="4C7716FD">
      <w:pPr>
        <w:spacing w:before="120" w:after="0" w:line="240" w:lineRule="auto"/>
        <w:ind w:firstLine="540"/>
        <w:jc w:val="both"/>
        <w:rPr>
          <w:rFonts w:hint="default" w:ascii="Times New Roman" w:hAnsi="Times New Roman" w:eastAsia="Times New Roman" w:cs="Times New Roman"/>
          <w:i w:val="0"/>
          <w:iCs/>
          <w:color w:val="000000"/>
          <w:sz w:val="28"/>
        </w:rPr>
      </w:pPr>
      <w:r>
        <w:rPr>
          <w:rFonts w:hint="default" w:ascii="Times New Roman" w:hAnsi="Times New Roman" w:eastAsia="Times New Roman" w:cs="Times New Roman"/>
          <w:i w:val="0"/>
          <w:iCs/>
          <w:color w:val="000000"/>
          <w:sz w:val="28"/>
        </w:rPr>
        <w:t>Sự phối hợp chính sách giữa phát triển liên kết chuỗi giá trị với các chính sách về tín dụng, bảo hiểm nông nghiệp, khoa học công nghệ, xúc tiến thương mại, phát triển thị trường, chuyển đổi số và phát triển vùng nguyên liệu còn thiếu đồng bộ. Vai trò của các tổ chức trung gian như Liên minh Hợp tác xã Việt Nam, hiệp hội ngành hàng, tổ chức khoa học công nghệ, tổ chức tư vấn và dịch vụ hỗ trợ phát triển chuỗi giá trị chưa được thể chế hóa đầy đủ.</w:t>
      </w:r>
    </w:p>
    <w:p w14:paraId="5B5C5188">
      <w:pPr>
        <w:spacing w:before="120" w:after="0" w:line="240" w:lineRule="auto"/>
        <w:ind w:firstLine="540"/>
        <w:jc w:val="both"/>
        <w:rPr>
          <w:rFonts w:hint="default" w:ascii="Times New Roman" w:hAnsi="Times New Roman" w:eastAsia="Times New Roman" w:cs="Times New Roman"/>
          <w:i w:val="0"/>
          <w:iCs/>
          <w:color w:val="000000"/>
          <w:sz w:val="28"/>
        </w:rPr>
      </w:pPr>
      <w:r>
        <w:rPr>
          <w:rFonts w:hint="default" w:ascii="Times New Roman" w:hAnsi="Times New Roman" w:eastAsia="Times New Roman" w:cs="Times New Roman"/>
          <w:i/>
          <w:iCs w:val="0"/>
          <w:color w:val="000000"/>
          <w:sz w:val="28"/>
        </w:rPr>
        <w:t>Nhìn chung</w:t>
      </w:r>
      <w:r>
        <w:rPr>
          <w:rFonts w:hint="default" w:ascii="Times New Roman" w:hAnsi="Times New Roman" w:eastAsia="Times New Roman" w:cs="Times New Roman"/>
          <w:i w:val="0"/>
          <w:iCs/>
          <w:color w:val="000000"/>
          <w:sz w:val="28"/>
        </w:rPr>
        <w:t>, các tồn tại, hạn chế nêu trên cho thấy Nghị định số 98/2018/NĐ-CP đã hoàn thành vai trò lịch sử trong giai đoạn đầu thúc đẩy liên kết sản xuất – tiêu thụ nông sản, nhưng không còn đáp ứng đầy đủ yêu cầu phát triển nông nghiệp hiện đại theo chuỗi giá trị trong giai đoạn mới. Do đó, việc xây dựng Nghị định thay thế theo hướng phát triển liên kết chuỗi giá trị nông nghiệp bền vững, tích hợp chuyển đổi số, chuyển đổi xanh, phát triển vùng nguyên liệu đạt chuẩn, tăng tính linh hoạt theo ngành hàng và nâng cao hiệu quả quản trị chuỗi là hết sức cần thiết.</w:t>
      </w:r>
    </w:p>
    <w:p w14:paraId="632B74D5">
      <w:pPr>
        <w:tabs>
          <w:tab w:val="left" w:pos="-5940"/>
          <w:tab w:val="left" w:pos="0"/>
        </w:tabs>
        <w:spacing w:before="120" w:after="0" w:line="240" w:lineRule="auto"/>
        <w:ind w:right="-18" w:firstLine="540"/>
        <w:jc w:val="both"/>
        <w:rPr>
          <w:rFonts w:hint="default" w:ascii="Times New Roman" w:hAnsi="Times New Roman" w:eastAsia="Times New Roman" w:cs="Times New Roman"/>
          <w:b/>
          <w:sz w:val="28"/>
          <w:lang w:val="en-US"/>
        </w:rPr>
      </w:pPr>
      <w:r>
        <w:rPr>
          <w:rFonts w:ascii="Times New Roman" w:hAnsi="Times New Roman" w:eastAsia="Times New Roman" w:cs="Times New Roman"/>
          <w:b/>
          <w:sz w:val="28"/>
        </w:rPr>
        <w:t>I</w:t>
      </w:r>
      <w:r>
        <w:rPr>
          <w:rFonts w:hint="default" w:ascii="Times New Roman" w:hAnsi="Times New Roman" w:eastAsia="Times New Roman" w:cs="Times New Roman"/>
          <w:b/>
          <w:sz w:val="28"/>
          <w:lang w:val="en-US"/>
        </w:rPr>
        <w:t>II</w:t>
      </w:r>
      <w:r>
        <w:rPr>
          <w:rFonts w:ascii="Times New Roman" w:hAnsi="Times New Roman" w:eastAsia="Times New Roman" w:cs="Times New Roman"/>
          <w:b/>
          <w:sz w:val="28"/>
        </w:rPr>
        <w:t xml:space="preserve">. </w:t>
      </w:r>
      <w:r>
        <w:rPr>
          <w:rFonts w:ascii="Times New Roman" w:hAnsi="Times New Roman" w:eastAsia="Times New Roman" w:cs="Times New Roman"/>
          <w:b/>
          <w:sz w:val="28"/>
          <w:lang w:val="en-US"/>
        </w:rPr>
        <w:t>ĐỀ</w:t>
      </w:r>
      <w:r>
        <w:rPr>
          <w:rFonts w:hint="default" w:ascii="Times New Roman" w:hAnsi="Times New Roman" w:eastAsia="Times New Roman" w:cs="Times New Roman"/>
          <w:b/>
          <w:sz w:val="28"/>
          <w:lang w:val="en-US"/>
        </w:rPr>
        <w:t xml:space="preserve"> XUẤT SỬA ĐỔI, BỔ SUNG CHÍNH SÁCH LIÊN KẾT</w:t>
      </w:r>
    </w:p>
    <w:p w14:paraId="152DEA6B">
      <w:pPr>
        <w:spacing w:before="120" w:after="0" w:line="240" w:lineRule="auto"/>
        <w:ind w:firstLine="539"/>
        <w:jc w:val="both"/>
        <w:rPr>
          <w:rFonts w:hint="default" w:ascii="Times New Roman" w:hAnsi="Times New Roman" w:eastAsia="Times New Roman" w:cs="Times New Roman"/>
          <w:b/>
          <w:spacing w:val="-4"/>
          <w:sz w:val="28"/>
          <w:lang w:val="en-US"/>
        </w:rPr>
      </w:pPr>
      <w:r>
        <w:rPr>
          <w:rFonts w:ascii="Times New Roman" w:hAnsi="Times New Roman" w:eastAsia="Times New Roman" w:cs="Times New Roman"/>
          <w:b/>
          <w:spacing w:val="-4"/>
          <w:sz w:val="28"/>
        </w:rPr>
        <w:t xml:space="preserve">1. Sự cần thiết </w:t>
      </w:r>
      <w:r>
        <w:rPr>
          <w:rFonts w:hint="default" w:ascii="Times New Roman" w:hAnsi="Times New Roman" w:eastAsia="Times New Roman" w:cs="Times New Roman"/>
          <w:b/>
          <w:spacing w:val="-4"/>
          <w:sz w:val="28"/>
          <w:lang w:val="en-US"/>
        </w:rPr>
        <w:t>xây dựng chính sách mới</w:t>
      </w:r>
    </w:p>
    <w:p w14:paraId="1D82C5B6">
      <w:pPr>
        <w:tabs>
          <w:tab w:val="left" w:pos="-5940"/>
          <w:tab w:val="left" w:pos="0"/>
        </w:tabs>
        <w:spacing w:before="120" w:after="0" w:line="240" w:lineRule="auto"/>
        <w:ind w:right="-18" w:firstLine="540"/>
        <w:jc w:val="both"/>
        <w:rPr>
          <w:rFonts w:hint="default" w:ascii="Times New Roman" w:hAnsi="Times New Roman" w:eastAsia="Times New Roman" w:cs="Times New Roman"/>
          <w:sz w:val="28"/>
        </w:rPr>
      </w:pPr>
      <w:r>
        <w:rPr>
          <w:rFonts w:hint="default" w:ascii="Times New Roman" w:hAnsi="Times New Roman" w:eastAsia="Times New Roman" w:cs="Times New Roman"/>
          <w:sz w:val="28"/>
        </w:rPr>
        <w:t>Phát triển liên kết chuỗi giá trị trong sản xuất, chế biến và tiêu thụ sản phẩm nông nghiệp là một trong những nội dung trọng tâm, có ý nghĩa quyết định đối với việc thực hiện thành công Chiến lược phát triển nông nghiệp, nông thôn bền vững trong giai đoạn mới. Định hướng này đã được Thủ tướng Chính phủ xác lập rõ tại Quyết định số 150/QĐ-TTg, trong đó nhấn mạnh yêu cầu chuyển đổi căn bản từ tư duy sản xuất nông nghiệp sang tư duy kinh tế nông nghiệp, lấy thị trường làm trung tâm, tổ chức lại sản xuất theo chuỗi giá trị, nâng cao giá trị gia tăng và phát triển bền vững.</w:t>
      </w:r>
    </w:p>
    <w:p w14:paraId="7458B9F2">
      <w:pPr>
        <w:tabs>
          <w:tab w:val="left" w:pos="-5940"/>
          <w:tab w:val="left" w:pos="0"/>
        </w:tabs>
        <w:spacing w:before="120" w:after="0" w:line="240" w:lineRule="auto"/>
        <w:ind w:right="-18" w:firstLine="540"/>
        <w:jc w:val="both"/>
        <w:rPr>
          <w:rFonts w:hint="default" w:ascii="Times New Roman" w:hAnsi="Times New Roman" w:eastAsia="Times New Roman" w:cs="Times New Roman"/>
          <w:sz w:val="28"/>
        </w:rPr>
      </w:pPr>
      <w:r>
        <w:rPr>
          <w:rFonts w:hint="default" w:ascii="Times New Roman" w:hAnsi="Times New Roman" w:eastAsia="Times New Roman" w:cs="Times New Roman"/>
          <w:sz w:val="28"/>
        </w:rPr>
        <w:t>Theo định hướng đó, việc đổi mới tổ chức sản xuất được xác định là khâu đột phá, trong đó kinh tế hợp tác, hợp tác xã giữ vai trò nòng cốt trong việc tổ chức nông dân, kết nối với doanh nghiệp, hình thành các chuỗi giá trị nông sản ổn định, hiệu quả, gắn với phát triển kinh tế xanh, kinh tế tuần hoàn, giảm phát thải và thích ứng biến đổi khí hậu.</w:t>
      </w:r>
    </w:p>
    <w:p w14:paraId="4668A3ED">
      <w:pPr>
        <w:tabs>
          <w:tab w:val="left" w:pos="-5940"/>
          <w:tab w:val="left" w:pos="0"/>
        </w:tabs>
        <w:spacing w:before="120" w:after="0" w:line="240" w:lineRule="auto"/>
        <w:ind w:right="-18" w:firstLine="540"/>
        <w:jc w:val="both"/>
        <w:rPr>
          <w:rFonts w:hint="default" w:ascii="Times New Roman" w:hAnsi="Times New Roman" w:eastAsia="Times New Roman" w:cs="Times New Roman"/>
          <w:sz w:val="28"/>
        </w:rPr>
      </w:pPr>
      <w:r>
        <w:rPr>
          <w:rFonts w:hint="default" w:ascii="Times New Roman" w:hAnsi="Times New Roman" w:eastAsia="Times New Roman" w:cs="Times New Roman"/>
          <w:sz w:val="28"/>
        </w:rPr>
        <w:t>Sau hơn 06 năm triển khai, Nghị định số 98/2018/NĐ-CP đã tạo khung pháp lý quan trọng thúc đẩy liên kết sản xuất và tiêu thụ nông sản, góp phần hình thành bước đầu các chuỗi giá trị và vùng sản xuất hàng hóa tập trung. Theo tổng hợp đến hết năm 2025, cả nước đã phê duyệt 2.938 dự án, kế hoạch liên kết đối với 119 sản phẩm nông nghiệp; thu hút sự tham gia của 2.412 hợp tác xã, 538 tổ hợp tác, 1.305 doanh nghiệp và hơn 211 nghìn hộ nông dân. Tỷ lệ giá trị sản phẩm nông nghiệp được sản xuất theo hình thức hợp tác, liên kết đạt khoảng 32%, tăng gấp hơn 2 lần so với thời điểm trước khi ban hành Nghị định số 98. Một số ngành hàng chủ lực đã hình thành mức độ liên kết tương đối cao như điều, hồ tiêu, cà phê.</w:t>
      </w:r>
    </w:p>
    <w:p w14:paraId="0CF74FAE">
      <w:pPr>
        <w:tabs>
          <w:tab w:val="left" w:pos="-5940"/>
          <w:tab w:val="left" w:pos="0"/>
        </w:tabs>
        <w:spacing w:before="120" w:after="0" w:line="240" w:lineRule="auto"/>
        <w:ind w:right="-18" w:firstLine="540"/>
        <w:jc w:val="both"/>
        <w:rPr>
          <w:rFonts w:hint="default" w:ascii="Times New Roman" w:hAnsi="Times New Roman" w:eastAsia="Times New Roman" w:cs="Times New Roman"/>
          <w:sz w:val="28"/>
        </w:rPr>
      </w:pPr>
      <w:r>
        <w:rPr>
          <w:rFonts w:hint="default" w:ascii="Times New Roman" w:hAnsi="Times New Roman" w:eastAsia="Times New Roman" w:cs="Times New Roman"/>
          <w:sz w:val="28"/>
        </w:rPr>
        <w:t xml:space="preserve">Tuy nhiên, thực tiễn triển khai cũng cho thấy, các kết quả đạt được chưa tương xứng với mục tiêu đề ra; liên kết chuỗi giá trị còn thiếu bền vững, phạm vi và quy mô còn hạn chế, chưa tạo được sự chuyển biến căn bản trong tổ chức sản xuất nông nghiệp. Những tồn tại, hạn chế này đã được tổng kết tại Hội nghị sơ kết 06 năm thực hiện Nghị định số 98/2018/NĐ-CP </w:t>
      </w:r>
      <w:r>
        <w:rPr>
          <w:rFonts w:hint="default" w:ascii="Times New Roman" w:hAnsi="Times New Roman" w:eastAsia="Times New Roman" w:cs="Times New Roman"/>
          <w:sz w:val="28"/>
          <w:lang w:val="en-US"/>
        </w:rPr>
        <w:t xml:space="preserve">tổ chức tại Hà Nội tháng 11 </w:t>
      </w:r>
      <w:r>
        <w:rPr>
          <w:rFonts w:hint="default" w:ascii="Times New Roman" w:hAnsi="Times New Roman" w:eastAsia="Times New Roman" w:cs="Times New Roman"/>
          <w:sz w:val="28"/>
        </w:rPr>
        <w:t xml:space="preserve">năm 2025, </w:t>
      </w:r>
      <w:r>
        <w:rPr>
          <w:rFonts w:hint="default" w:ascii="Times New Roman" w:hAnsi="Times New Roman" w:eastAsia="Times New Roman" w:cs="Times New Roman"/>
          <w:sz w:val="28"/>
          <w:lang w:val="en-US"/>
        </w:rPr>
        <w:t xml:space="preserve">cụ thể </w:t>
      </w:r>
      <w:r>
        <w:rPr>
          <w:rFonts w:hint="default" w:ascii="Times New Roman" w:hAnsi="Times New Roman" w:eastAsia="Times New Roman" w:cs="Times New Roman"/>
          <w:sz w:val="28"/>
        </w:rPr>
        <w:t>tập trung vào một số vấn đề lớn sau</w:t>
      </w:r>
      <w:r>
        <w:rPr>
          <w:rFonts w:hint="default" w:ascii="Times New Roman" w:hAnsi="Times New Roman" w:eastAsia="Times New Roman" w:cs="Times New Roman"/>
          <w:sz w:val="28"/>
          <w:lang w:val="en-US"/>
        </w:rPr>
        <w:t xml:space="preserve"> đây</w:t>
      </w:r>
      <w:r>
        <w:rPr>
          <w:rFonts w:hint="default" w:ascii="Times New Roman" w:hAnsi="Times New Roman" w:eastAsia="Times New Roman" w:cs="Times New Roman"/>
          <w:sz w:val="28"/>
        </w:rPr>
        <w:t>:</w:t>
      </w:r>
    </w:p>
    <w:p w14:paraId="7735850B">
      <w:pPr>
        <w:tabs>
          <w:tab w:val="left" w:pos="-5940"/>
          <w:tab w:val="left" w:pos="0"/>
        </w:tabs>
        <w:spacing w:before="120" w:after="0" w:line="240" w:lineRule="auto"/>
        <w:ind w:right="-18" w:firstLine="540"/>
        <w:jc w:val="both"/>
        <w:rPr>
          <w:rFonts w:hint="default" w:ascii="Times New Roman" w:hAnsi="Times New Roman" w:eastAsia="Times New Roman" w:cs="Times New Roman"/>
          <w:sz w:val="28"/>
        </w:rPr>
      </w:pPr>
      <w:r>
        <w:rPr>
          <w:rFonts w:hint="default" w:ascii="Times New Roman" w:hAnsi="Times New Roman" w:eastAsia="Times New Roman" w:cs="Times New Roman"/>
          <w:sz w:val="28"/>
        </w:rPr>
        <w:t xml:space="preserve">Thứ nhất, cách tiếp cận chính sách còn thiên về hỗ trợ theo dự án ngắn hạn, gắn với đầu tư ban đầu từ ngân sách nhà nước, trong khi liên kết chuỗi giá trị là một quá trình kinh tế </w:t>
      </w:r>
      <w:r>
        <w:rPr>
          <w:rFonts w:hint="default" w:ascii="Times New Roman" w:hAnsi="Times New Roman" w:eastAsia="Times New Roman" w:cs="Times New Roman"/>
          <w:sz w:val="28"/>
          <w:lang w:val="en-US"/>
        </w:rPr>
        <w:t>-</w:t>
      </w:r>
      <w:r>
        <w:rPr>
          <w:rFonts w:hint="default" w:ascii="Times New Roman" w:hAnsi="Times New Roman" w:eastAsia="Times New Roman" w:cs="Times New Roman"/>
          <w:sz w:val="28"/>
        </w:rPr>
        <w:t xml:space="preserve"> xã hội dài hạn, đòi hỏi cơ chế thúc đẩy thị trường, nâng cao năng lực tổ chức và quản trị chuỗi. Việc thiếu các quy định về điều phối chuỗi, quản trị hợp tác xã, cơ chế chia sẻ lợi ích và rủi ro đã dẫn đến tình trạng nhiều liên kết chỉ tồn tại trong thời gian hỗ trợ, sau đó suy giảm hoặc đứt gãy. Đồng thời, chính sách chưa tích hợp đầy đủ các yêu cầu mới về chuyển đổi số, chuyển đổi xanh, giảm phát thải.</w:t>
      </w:r>
    </w:p>
    <w:p w14:paraId="0EF360FC">
      <w:pPr>
        <w:tabs>
          <w:tab w:val="left" w:pos="-5940"/>
          <w:tab w:val="left" w:pos="0"/>
        </w:tabs>
        <w:spacing w:before="120" w:after="0" w:line="240" w:lineRule="auto"/>
        <w:ind w:right="-18" w:firstLine="540"/>
        <w:jc w:val="both"/>
        <w:rPr>
          <w:rFonts w:hint="default" w:ascii="Times New Roman" w:hAnsi="Times New Roman" w:eastAsia="Times New Roman" w:cs="Times New Roman"/>
          <w:sz w:val="28"/>
        </w:rPr>
      </w:pPr>
      <w:r>
        <w:rPr>
          <w:rFonts w:hint="default" w:ascii="Times New Roman" w:hAnsi="Times New Roman" w:eastAsia="Times New Roman" w:cs="Times New Roman"/>
          <w:sz w:val="28"/>
        </w:rPr>
        <w:t>Thứ hai, chưa có khung chính sách đủ mạnh về phát triển vùng nguyên liệu – yếu tố nền tảng quyết định chất lượng, tính ổn định và khả năng mở rộng của chuỗi giá trị nông sản hiện đại. Việc thiếu quy định về tổ chức, quản lý và đầu tư vùng nguyên liệu dẫn đến liên kết còn rời rạc, khó kiểm soát chất lượng, chưa đáp ứng yêu cầu truy xuất nguồn gốc, tiêu chuẩn kỹ thuật và các cam kết quốc tế. Thực tiễn triển khai các đề án lớn như</w:t>
      </w:r>
      <w:r>
        <w:rPr>
          <w:rFonts w:hint="default" w:ascii="Times New Roman" w:hAnsi="Times New Roman" w:eastAsia="Times New Roman" w:cs="Times New Roman"/>
          <w:sz w:val="28"/>
          <w:lang w:val="en-US"/>
        </w:rPr>
        <w:t>: Đề án thí điểm xây dựng 05</w:t>
      </w:r>
      <w:r>
        <w:rPr>
          <w:rFonts w:hint="default" w:ascii="Times New Roman" w:hAnsi="Times New Roman" w:eastAsia="Times New Roman" w:cs="Times New Roman"/>
          <w:sz w:val="28"/>
        </w:rPr>
        <w:t xml:space="preserve"> vùng nguyên liệu đạt chuẩn và Đề án 1 triệu ha lúa chất lượng cao đã chứng minh đây là khâu đột phá, có khả năng dẫn dắt toàn bộ chuỗi giá trị.</w:t>
      </w:r>
    </w:p>
    <w:p w14:paraId="3CF728ED">
      <w:pPr>
        <w:tabs>
          <w:tab w:val="left" w:pos="-5940"/>
          <w:tab w:val="left" w:pos="0"/>
        </w:tabs>
        <w:spacing w:before="120" w:after="0" w:line="240" w:lineRule="auto"/>
        <w:ind w:right="-18" w:firstLine="540"/>
        <w:jc w:val="both"/>
        <w:rPr>
          <w:rFonts w:hint="default" w:ascii="Times New Roman" w:hAnsi="Times New Roman" w:eastAsia="Times New Roman" w:cs="Times New Roman"/>
          <w:sz w:val="28"/>
        </w:rPr>
      </w:pPr>
      <w:r>
        <w:rPr>
          <w:rFonts w:hint="default" w:ascii="Times New Roman" w:hAnsi="Times New Roman" w:eastAsia="Times New Roman" w:cs="Times New Roman"/>
          <w:sz w:val="28"/>
        </w:rPr>
        <w:t>Thứ ba, còn tồn tại khoảng trống thể chế đối với các tác nhân trung gian, đặc biệt là thương lái và hệ thống logistics. Trong điều kiện sản xuất nông nghiệp Việt Nam, đây là lực lượng giữ vai trò quan trọng trong tổ chức thu mua, lưu thông và phân phối sản phẩm. Việc chưa có quy định để tích hợp các chủ thể này vào chuỗi liên kết đã làm giảm hiệu quả điều tiết của chính sách, đồng thời khiến nhiều chuỗi giá trị thực tế vận hành ngoài khuôn khổ pháp lý. Nội dung này đã được tiếp cận, điều chỉnh trong dự thảo Nghị định mới khi bổ sung đầy đủ các chủ thể tham gia chuỗi giá trị .</w:t>
      </w:r>
    </w:p>
    <w:p w14:paraId="52F7745A">
      <w:pPr>
        <w:tabs>
          <w:tab w:val="left" w:pos="-5940"/>
          <w:tab w:val="left" w:pos="0"/>
        </w:tabs>
        <w:spacing w:before="120" w:after="0" w:line="240" w:lineRule="auto"/>
        <w:ind w:right="-18" w:firstLine="540"/>
        <w:jc w:val="both"/>
        <w:rPr>
          <w:rFonts w:hint="default" w:ascii="Times New Roman" w:hAnsi="Times New Roman" w:eastAsia="Times New Roman" w:cs="Times New Roman"/>
          <w:sz w:val="28"/>
        </w:rPr>
      </w:pPr>
      <w:r>
        <w:rPr>
          <w:rFonts w:hint="default" w:ascii="Times New Roman" w:hAnsi="Times New Roman" w:eastAsia="Times New Roman" w:cs="Times New Roman"/>
          <w:sz w:val="28"/>
        </w:rPr>
        <w:t>Thứ tư, thủ tục hành chính còn phức tạp, chồng chéo, chưa phù hợp với năng lực của hợp tác xã và các chủ thể quy mô nhỏ. Quy trình xây dựng, thẩm định, phê duyệt dự án liên kết còn nặng về hồ sơ, giấy tờ, chưa áp dụng mạnh mẽ công nghệ số, làm giảm khả năng tiếp cận chính sách của chính các đối tượng cần hỗ trợ. Điều này đòi hỏi phải cải cách theo hướng đơn giản hóa, phân cấp, thực hiện cơ chế một cửa và gắn trách nhiệm với kết quả đầu ra của chuỗi liên kết.</w:t>
      </w:r>
    </w:p>
    <w:p w14:paraId="48DDA58C">
      <w:pPr>
        <w:tabs>
          <w:tab w:val="left" w:pos="-5940"/>
          <w:tab w:val="left" w:pos="0"/>
        </w:tabs>
        <w:spacing w:before="120" w:after="0" w:line="240" w:lineRule="auto"/>
        <w:ind w:right="-18" w:firstLine="540"/>
        <w:jc w:val="both"/>
        <w:rPr>
          <w:rFonts w:hint="default" w:ascii="Times New Roman" w:hAnsi="Times New Roman" w:eastAsia="Times New Roman" w:cs="Times New Roman"/>
          <w:sz w:val="28"/>
        </w:rPr>
      </w:pPr>
      <w:r>
        <w:rPr>
          <w:rFonts w:hint="default" w:ascii="Times New Roman" w:hAnsi="Times New Roman" w:eastAsia="Times New Roman" w:cs="Times New Roman"/>
          <w:sz w:val="28"/>
        </w:rPr>
        <w:t>Thứ năm, yêu cầu hoàn thiện thể chế trong giai đoạn mới đặt ra cấp thiết. Việc sửa đổi Nghị định số 98/2018/NĐ-CP không chỉ xuất phát từ thực tiễn phát triển ngành mà còn nhằm cụ thể hóa các chủ trương lớn của Đảng, đặc biệt là Nghị quyết số 66-NQ/TW về đổi mới công tác xây dựng và thực thi pháp luật theo hướng kiến tạo phát triển, lấy người dân và doanh nghiệp làm trung tâm, chuyển mạnh từ tiền kiểm sang hậu kiểm, giảm can thiệp hành chính trực tiếp, tăng cường cơ chế khuyến khích và dẫn dắt thị trường.</w:t>
      </w:r>
    </w:p>
    <w:p w14:paraId="4EFAFDC2">
      <w:pPr>
        <w:tabs>
          <w:tab w:val="left" w:pos="-5940"/>
          <w:tab w:val="left" w:pos="0"/>
        </w:tabs>
        <w:spacing w:before="120" w:after="0" w:line="240" w:lineRule="auto"/>
        <w:ind w:right="-18" w:firstLine="540"/>
        <w:jc w:val="both"/>
        <w:rPr>
          <w:rFonts w:ascii="Times New Roman" w:hAnsi="Times New Roman" w:eastAsia="Times New Roman" w:cs="Times New Roman"/>
          <w:sz w:val="28"/>
        </w:rPr>
      </w:pPr>
      <w:r>
        <w:rPr>
          <w:rFonts w:hint="default" w:ascii="Times New Roman" w:hAnsi="Times New Roman" w:eastAsia="Times New Roman" w:cs="Times New Roman"/>
          <w:sz w:val="28"/>
        </w:rPr>
        <w:t xml:space="preserve">Thực tiễn cho thấy, một số quy định hiện hành còn mang tính hành chính, quản lý theo dự án, chưa tạo đủ không gian thể chế cho các chủ thể kinh tế chủ động tổ chức liên kết theo tín hiệu thị trường, đổi mới sáng tạo và chịu trách nhiệm về hiệu quả. Vì vậy, việc xây dựng Nghị định mới </w:t>
      </w:r>
      <w:r>
        <w:rPr>
          <w:rFonts w:hint="default" w:ascii="Times New Roman" w:hAnsi="Times New Roman" w:eastAsia="Times New Roman" w:cs="Times New Roman"/>
          <w:sz w:val="28"/>
          <w:lang w:val="en-US"/>
        </w:rPr>
        <w:t xml:space="preserve">về </w:t>
      </w:r>
      <w:r>
        <w:rPr>
          <w:rFonts w:hint="default" w:ascii="Times New Roman" w:hAnsi="Times New Roman" w:cs="Times New Roman"/>
          <w:b/>
          <w:bCs/>
          <w:color w:val="auto"/>
          <w:sz w:val="26"/>
          <w:szCs w:val="26"/>
          <w:lang w:val="en-US"/>
        </w:rPr>
        <w:t>chính sách</w:t>
      </w:r>
      <w:r>
        <w:rPr>
          <w:rFonts w:ascii="Times New Roman" w:hAnsi="Times New Roman" w:cs="Times New Roman"/>
          <w:b/>
          <w:bCs/>
          <w:color w:val="auto"/>
          <w:sz w:val="26"/>
          <w:szCs w:val="26"/>
        </w:rPr>
        <w:t xml:space="preserve"> phát triển liên kết chuỗi giá trị nông nghiệ</w:t>
      </w:r>
      <w:r>
        <w:rPr>
          <w:rFonts w:hint="default" w:ascii="Times New Roman" w:hAnsi="Times New Roman" w:cs="Times New Roman"/>
          <w:b/>
          <w:bCs/>
          <w:color w:val="auto"/>
          <w:sz w:val="26"/>
          <w:szCs w:val="26"/>
          <w:lang w:val="en-US"/>
        </w:rPr>
        <w:t>p bền vững</w:t>
      </w:r>
      <w:r>
        <w:rPr>
          <w:rFonts w:hint="default" w:ascii="Times New Roman" w:hAnsi="Times New Roman" w:eastAsia="Times New Roman" w:cs="Times New Roman"/>
          <w:sz w:val="28"/>
          <w:lang w:val="en-US"/>
        </w:rPr>
        <w:t xml:space="preserve"> </w:t>
      </w:r>
      <w:r>
        <w:rPr>
          <w:rFonts w:hint="default" w:ascii="Times New Roman" w:hAnsi="Times New Roman" w:eastAsia="Times New Roman" w:cs="Times New Roman"/>
          <w:sz w:val="28"/>
        </w:rPr>
        <w:t>là yêu cầu cấp thiết nhằm hoàn thiện khung pháp lý theo hướng đồng bộ, minh bạch, ổn định và dễ thực thi; bảo đảm tính thống nhất của hệ thống pháp luật; đồng thời khơi thông nguồn lực xã hội, nâng cao hiệu lực, hiệu quả quản lý nhà nước và thúc đẩy phát triển các chuỗi giá trị nông nghiệp bền vững, hiện đại, phù hợp với bối cảnh hội nhập và chuyển đổi trong giai đoạn tới.</w:t>
      </w:r>
    </w:p>
    <w:p w14:paraId="4142FBFC">
      <w:pPr>
        <w:tabs>
          <w:tab w:val="left" w:pos="-5940"/>
          <w:tab w:val="left" w:pos="0"/>
        </w:tabs>
        <w:spacing w:before="120" w:after="0" w:line="240" w:lineRule="auto"/>
        <w:ind w:right="-18" w:firstLine="540"/>
        <w:jc w:val="both"/>
        <w:rPr>
          <w:rFonts w:hint="default" w:ascii="Times New Roman" w:hAnsi="Times New Roman" w:eastAsia="Times New Roman" w:cs="Times New Roman"/>
          <w:b/>
          <w:spacing w:val="-4"/>
          <w:sz w:val="28"/>
          <w:lang w:val="en-US"/>
        </w:rPr>
      </w:pPr>
      <w:r>
        <w:rPr>
          <w:rFonts w:hint="default" w:ascii="Times New Roman" w:hAnsi="Times New Roman" w:eastAsia="Times New Roman" w:cs="Times New Roman"/>
          <w:b/>
          <w:spacing w:val="-4"/>
          <w:sz w:val="28"/>
          <w:lang w:val="en-US"/>
        </w:rPr>
        <w:t>2. Quan điểm, mục tiêu và yêu cầu</w:t>
      </w:r>
    </w:p>
    <w:p w14:paraId="45022DAE">
      <w:pPr>
        <w:tabs>
          <w:tab w:val="left" w:pos="-5940"/>
          <w:tab w:val="left" w:pos="0"/>
        </w:tabs>
        <w:spacing w:before="120" w:after="0" w:line="240" w:lineRule="auto"/>
        <w:ind w:right="-18" w:firstLine="540"/>
        <w:jc w:val="both"/>
        <w:rPr>
          <w:rFonts w:hint="default" w:ascii="Times New Roman" w:hAnsi="Times New Roman" w:eastAsia="Times New Roman" w:cs="Times New Roman"/>
          <w:b/>
          <w:bCs/>
          <w:sz w:val="28"/>
          <w:lang w:val="en-US" w:eastAsia="vi-VN"/>
        </w:rPr>
      </w:pPr>
      <w:r>
        <w:rPr>
          <w:rFonts w:hint="default" w:ascii="Times New Roman" w:hAnsi="Times New Roman" w:eastAsia="Times New Roman" w:cs="Times New Roman"/>
          <w:b/>
          <w:bCs/>
          <w:sz w:val="28"/>
          <w:lang w:val="en-US" w:eastAsia="vi-VN"/>
        </w:rPr>
        <w:t>a)</w:t>
      </w:r>
      <w:r>
        <w:rPr>
          <w:rFonts w:hint="default" w:ascii="Times New Roman" w:hAnsi="Times New Roman" w:eastAsia="Times New Roman" w:cs="Times New Roman"/>
          <w:b/>
          <w:bCs/>
          <w:sz w:val="28"/>
          <w:lang w:val="vi-VN" w:eastAsia="vi-VN"/>
        </w:rPr>
        <w:t xml:space="preserve"> Quan điểm</w:t>
      </w:r>
      <w:r>
        <w:rPr>
          <w:rFonts w:hint="default" w:ascii="Times New Roman" w:hAnsi="Times New Roman" w:eastAsia="Times New Roman" w:cs="Times New Roman"/>
          <w:b/>
          <w:bCs/>
          <w:sz w:val="28"/>
          <w:lang w:val="en-US" w:eastAsia="vi-VN"/>
        </w:rPr>
        <w:t>:</w:t>
      </w:r>
    </w:p>
    <w:p w14:paraId="50EE3DF7">
      <w:pPr>
        <w:tabs>
          <w:tab w:val="left" w:pos="-5940"/>
          <w:tab w:val="left" w:pos="0"/>
        </w:tabs>
        <w:spacing w:before="120" w:after="0" w:line="240" w:lineRule="auto"/>
        <w:ind w:right="-18" w:firstLine="540"/>
        <w:jc w:val="both"/>
        <w:rPr>
          <w:rFonts w:hint="default" w:ascii="Times New Roman" w:hAnsi="Times New Roman" w:eastAsia="Times New Roman" w:cs="Times New Roman"/>
          <w:sz w:val="28"/>
          <w:lang w:val="en-US" w:eastAsia="vi-VN"/>
        </w:rPr>
      </w:pPr>
      <w:r>
        <w:rPr>
          <w:rFonts w:hint="default" w:ascii="Times New Roman" w:hAnsi="Times New Roman" w:eastAsia="Times New Roman" w:cs="Times New Roman"/>
          <w:sz w:val="28"/>
          <w:lang w:val="en-US" w:eastAsia="vi-VN"/>
        </w:rPr>
        <w:t>(i) Việc sửa đổi, bổ sung Nghị định số 98/2018/NĐ-CP được thực hiện trên cơ sở quán triệt đầy đủ, nhất quán các chủ trương, đường lối của Đảng; chỉ đạo của Chính phủ, Thủ tướng Chính phủ về phát triển kinh tế tập thể, hợp tác xã và tổ chức sản xuất nông nghiệp theo chuỗi giá trị; đồng thời bám sát yêu cầu đổi mới mô hình tăng trưởng ngành nông nghiệp trong bối cảnh hội nhập quốc tế sâu rộng và chuyển đổi xanh, chuyển đổi số.</w:t>
      </w:r>
    </w:p>
    <w:p w14:paraId="364208B0">
      <w:pPr>
        <w:tabs>
          <w:tab w:val="left" w:pos="-5940"/>
          <w:tab w:val="left" w:pos="0"/>
        </w:tabs>
        <w:spacing w:before="120" w:after="0" w:line="240" w:lineRule="auto"/>
        <w:ind w:right="-18" w:firstLine="540"/>
        <w:jc w:val="both"/>
        <w:rPr>
          <w:rFonts w:hint="default" w:ascii="Times New Roman" w:hAnsi="Times New Roman" w:eastAsia="Times New Roman" w:cs="Times New Roman"/>
          <w:sz w:val="28"/>
          <w:lang w:val="en-US" w:eastAsia="vi-VN"/>
        </w:rPr>
      </w:pPr>
      <w:r>
        <w:rPr>
          <w:rFonts w:hint="default" w:ascii="Times New Roman" w:hAnsi="Times New Roman" w:eastAsia="Times New Roman" w:cs="Times New Roman"/>
          <w:sz w:val="28"/>
          <w:lang w:val="en-US" w:eastAsia="vi-VN"/>
        </w:rPr>
        <w:t>(ii) Phát triển hợp tác, liên kết trong sản xuất, chế biến và tiêu thụ sản phẩm nông nghiệp là phương thức tổ chức sản xuất tất yếu của nền nông nghiệp hiện đại, có ý nghĩa quyết định trong việc nâng cao giá trị gia tăng, hiệu quả sản xuất và sức cạnh tranh của nông sản. Trong đó, doanh nghiệp, hợp tác xã và nông dân là các chủ thể trung tâm của chuỗi giá trị; Nhà nước đóng vai trò kiến tạo phát triển, định hướng, dẫn dắt thị trường và hỗ trợ có trọng tâm, trọng điểm, không làm thay chức năng của thị trường.</w:t>
      </w:r>
    </w:p>
    <w:p w14:paraId="46436D4E">
      <w:pPr>
        <w:tabs>
          <w:tab w:val="left" w:pos="-5940"/>
          <w:tab w:val="left" w:pos="0"/>
        </w:tabs>
        <w:spacing w:before="120" w:after="0" w:line="240" w:lineRule="auto"/>
        <w:ind w:right="-18" w:firstLine="540"/>
        <w:jc w:val="both"/>
        <w:rPr>
          <w:rFonts w:hint="default" w:ascii="Times New Roman" w:hAnsi="Times New Roman" w:eastAsia="Times New Roman" w:cs="Times New Roman"/>
          <w:sz w:val="28"/>
          <w:lang w:val="en-US" w:eastAsia="vi-VN"/>
        </w:rPr>
      </w:pPr>
      <w:r>
        <w:rPr>
          <w:rFonts w:hint="default" w:ascii="Times New Roman" w:hAnsi="Times New Roman" w:eastAsia="Times New Roman" w:cs="Times New Roman"/>
          <w:sz w:val="28"/>
          <w:lang w:val="en-US" w:eastAsia="vi-VN"/>
        </w:rPr>
        <w:t>(iii) Việc hoàn thiện chính sách phải gắn chặt với tổ chức lại sản xuất theo vùng nguyên liệu tập trung, quy mô phù hợp, được quản lý theo tiêu chuẩn, quy chuẩn; đồng thời tích hợp các yêu cầu mới về phát triển nông nghiệp sinh thái, kinh tế tuần hoàn, giảm phát thải khí nhà kính, chuyển đổi số và truy xuất nguồn gốc. Phát triển liên kết chuỗi giá trị phải đặt trong tổng thể phát triển thị trường trong nước và xuất khẩu, phù hợp với các cam kết quốc tế, nâng cao năng lực thích ứng của ngành nông nghiệp trước biến động thị trường và rủi ro toàn cầu</w:t>
      </w:r>
    </w:p>
    <w:p w14:paraId="3A2A25DF">
      <w:pPr>
        <w:tabs>
          <w:tab w:val="left" w:pos="-5940"/>
          <w:tab w:val="left" w:pos="0"/>
        </w:tabs>
        <w:spacing w:before="120" w:after="0" w:line="240" w:lineRule="auto"/>
        <w:ind w:right="-18" w:firstLine="540"/>
        <w:jc w:val="both"/>
        <w:rPr>
          <w:rFonts w:hint="default" w:ascii="Times New Roman" w:hAnsi="Times New Roman" w:eastAsia="Times New Roman" w:cs="Times New Roman"/>
          <w:b/>
          <w:bCs/>
          <w:sz w:val="28"/>
          <w:lang w:val="en-US" w:eastAsia="vi-VN"/>
        </w:rPr>
      </w:pPr>
      <w:r>
        <w:rPr>
          <w:rFonts w:hint="default" w:ascii="Times New Roman" w:hAnsi="Times New Roman" w:eastAsia="Times New Roman" w:cs="Times New Roman"/>
          <w:b/>
          <w:bCs/>
          <w:sz w:val="28"/>
          <w:lang w:val="en-US" w:eastAsia="vi-VN"/>
        </w:rPr>
        <w:t>b)</w:t>
      </w:r>
      <w:r>
        <w:rPr>
          <w:rFonts w:hint="default" w:ascii="Times New Roman" w:hAnsi="Times New Roman" w:eastAsia="Times New Roman" w:cs="Times New Roman"/>
          <w:b/>
          <w:bCs/>
          <w:sz w:val="28"/>
          <w:lang w:val="vi-VN" w:eastAsia="vi-VN"/>
        </w:rPr>
        <w:t xml:space="preserve"> Mục tiêu</w:t>
      </w:r>
      <w:r>
        <w:rPr>
          <w:rFonts w:hint="default" w:ascii="Times New Roman" w:hAnsi="Times New Roman" w:eastAsia="Times New Roman" w:cs="Times New Roman"/>
          <w:b/>
          <w:bCs/>
          <w:sz w:val="28"/>
          <w:lang w:val="en-US" w:eastAsia="vi-VN"/>
        </w:rPr>
        <w:t>:</w:t>
      </w:r>
    </w:p>
    <w:p w14:paraId="26AEAC31">
      <w:pPr>
        <w:tabs>
          <w:tab w:val="left" w:pos="-5940"/>
          <w:tab w:val="left" w:pos="0"/>
        </w:tabs>
        <w:spacing w:before="120" w:after="0" w:line="240" w:lineRule="auto"/>
        <w:ind w:right="-18" w:firstLine="540"/>
        <w:jc w:val="both"/>
        <w:rPr>
          <w:rFonts w:hint="default" w:ascii="Times New Roman" w:hAnsi="Times New Roman" w:eastAsia="Times New Roman" w:cs="Times New Roman"/>
          <w:sz w:val="28"/>
          <w:lang w:val="en-US" w:eastAsia="vi-VN"/>
        </w:rPr>
      </w:pPr>
      <w:r>
        <w:rPr>
          <w:rFonts w:hint="default" w:ascii="Times New Roman" w:hAnsi="Times New Roman" w:eastAsia="Times New Roman" w:cs="Times New Roman"/>
          <w:sz w:val="28"/>
          <w:lang w:val="en-US" w:eastAsia="vi-VN"/>
        </w:rPr>
        <w:t>(i) Hoàn thiện khung pháp lý về chính sách khuyến khích phát triển hợp tác, liên kết trong sản xuất, chế biến và tiêu thụ sản phẩm nông nghiệp theo hướng đồng bộ, hiện đại, ổn định và dễ thực thi; tạo nền tảng pháp lý đầy đủ cho việc tổ chức sản xuất theo chuỗi giá trị, phù hợp với bối cảnh phát triển mới của ngành nông nghiệp và yêu cầu hội nhập quốc tế.</w:t>
      </w:r>
    </w:p>
    <w:p w14:paraId="246421D3">
      <w:pPr>
        <w:tabs>
          <w:tab w:val="left" w:pos="-5940"/>
          <w:tab w:val="left" w:pos="0"/>
        </w:tabs>
        <w:spacing w:before="120" w:after="0" w:line="240" w:lineRule="auto"/>
        <w:ind w:right="-18" w:firstLine="540"/>
        <w:jc w:val="both"/>
        <w:rPr>
          <w:rFonts w:hint="default" w:ascii="Times New Roman" w:hAnsi="Times New Roman" w:eastAsia="Times New Roman" w:cs="Times New Roman"/>
          <w:sz w:val="28"/>
          <w:lang w:val="en-US" w:eastAsia="vi-VN"/>
        </w:rPr>
      </w:pPr>
      <w:r>
        <w:rPr>
          <w:rFonts w:hint="default" w:ascii="Times New Roman" w:hAnsi="Times New Roman" w:eastAsia="Times New Roman" w:cs="Times New Roman"/>
          <w:sz w:val="28"/>
          <w:lang w:val="en-US" w:eastAsia="vi-VN"/>
        </w:rPr>
        <w:t>(ii) Khắc phục căn bản các hạn chế, bất cập của Nghị định số 98/2018/NĐ-CP, đặc biệt là những tồn tại về cách tiếp cận hỗ trợ theo dự án ngắn hạn, thiếu cơ chế phát triển vùng nguyên liệu, chưa bao quát đầy đủ các chủ thể trong chuỗi giá trị và còn nặng về thủ tục hành chính. Trên cơ sở đó, nâng cao chất lượng, hiệu quả và tính bền vững của các liên kết; thúc đẩy hình thành các chuỗi giá trị nông sản quy mô lớn, ổn định, có khả năng cạnh tranh cao.</w:t>
      </w:r>
    </w:p>
    <w:p w14:paraId="62A4786F">
      <w:pPr>
        <w:tabs>
          <w:tab w:val="left" w:pos="-5940"/>
          <w:tab w:val="left" w:pos="0"/>
        </w:tabs>
        <w:spacing w:before="120" w:after="0" w:line="240" w:lineRule="auto"/>
        <w:ind w:right="-18" w:firstLine="540"/>
        <w:jc w:val="both"/>
        <w:rPr>
          <w:rFonts w:hint="default" w:ascii="Times New Roman" w:hAnsi="Times New Roman" w:eastAsia="Times New Roman" w:cs="Times New Roman"/>
          <w:sz w:val="28"/>
          <w:lang w:val="en-US" w:eastAsia="vi-VN"/>
        </w:rPr>
      </w:pPr>
      <w:r>
        <w:rPr>
          <w:rFonts w:hint="default" w:ascii="Times New Roman" w:hAnsi="Times New Roman" w:eastAsia="Times New Roman" w:cs="Times New Roman"/>
          <w:sz w:val="28"/>
          <w:lang w:val="en-US" w:eastAsia="vi-VN"/>
        </w:rPr>
        <w:t>(iii) Nâng cao vai trò của hợp tác xã như một chủ thể trung tâm trong tổ chức sản xuất, đại diện cho nông dân tham gia chuỗi giá trị, điều phối các hoạt động sản xuất - thu mua - tiêu thụ; đồng thời thúc đẩy doanh nghiệp tham gia sâu vào phát triển vùng nguyên liệu, chế biến và thị trường. Từng bước hình thành và phát triển các vùng nguyên liệu đạt chuẩn, đáp ứng yêu cầu về chất lượng, truy xuất nguồn gốc, tiêu chuẩn kỹ thuật, góp phần nâng cao năng lực xuất khẩu và giá trị gia tăng của nông sản Việt Nam.</w:t>
      </w:r>
    </w:p>
    <w:p w14:paraId="7A38B04B">
      <w:pPr>
        <w:tabs>
          <w:tab w:val="left" w:pos="-5940"/>
          <w:tab w:val="left" w:pos="0"/>
        </w:tabs>
        <w:spacing w:before="120" w:after="0" w:line="240" w:lineRule="auto"/>
        <w:ind w:right="-18" w:firstLine="540"/>
        <w:jc w:val="both"/>
        <w:rPr>
          <w:rFonts w:hint="default" w:ascii="Times New Roman" w:hAnsi="Times New Roman" w:eastAsia="Times New Roman" w:cs="Times New Roman"/>
          <w:sz w:val="28"/>
          <w:lang w:val="en-US" w:eastAsia="vi-VN"/>
        </w:rPr>
      </w:pPr>
      <w:r>
        <w:rPr>
          <w:rFonts w:hint="default" w:ascii="Times New Roman" w:hAnsi="Times New Roman" w:eastAsia="Times New Roman" w:cs="Times New Roman"/>
          <w:sz w:val="28"/>
          <w:lang w:val="en-US" w:eastAsia="vi-VN"/>
        </w:rPr>
        <w:t>(iv) Góp phần thực hiện hiệu quả cơ cấu lại ngành nông nghiệp theo hướng nông nghiệp sinh thái, hiện đại, giá trị gia tăng cao và phát thải thấp; nâng cao thu nhập cho nông dân, phát triển kinh tế nông thôn bền vững và bao trùm.</w:t>
      </w:r>
    </w:p>
    <w:p w14:paraId="32B2B9B8">
      <w:pPr>
        <w:tabs>
          <w:tab w:val="left" w:pos="-5940"/>
          <w:tab w:val="left" w:pos="0"/>
        </w:tabs>
        <w:spacing w:before="120" w:after="0" w:line="240" w:lineRule="auto"/>
        <w:ind w:right="-18" w:firstLine="540"/>
        <w:jc w:val="both"/>
        <w:rPr>
          <w:rFonts w:hint="default" w:ascii="Times New Roman" w:hAnsi="Times New Roman" w:eastAsia="Times New Roman" w:cs="Times New Roman"/>
          <w:b/>
          <w:bCs/>
          <w:sz w:val="28"/>
          <w:lang w:val="en-US" w:eastAsia="vi-VN"/>
        </w:rPr>
      </w:pPr>
      <w:r>
        <w:rPr>
          <w:rFonts w:hint="default" w:ascii="Times New Roman" w:hAnsi="Times New Roman" w:eastAsia="Times New Roman" w:cs="Times New Roman"/>
          <w:b/>
          <w:bCs/>
          <w:sz w:val="28"/>
          <w:lang w:val="en-US" w:eastAsia="vi-VN"/>
        </w:rPr>
        <w:t>c)</w:t>
      </w:r>
      <w:r>
        <w:rPr>
          <w:rFonts w:hint="default" w:ascii="Times New Roman" w:hAnsi="Times New Roman" w:eastAsia="Times New Roman" w:cs="Times New Roman"/>
          <w:b/>
          <w:bCs/>
          <w:sz w:val="28"/>
          <w:lang w:val="vi-VN" w:eastAsia="vi-VN"/>
        </w:rPr>
        <w:t xml:space="preserve"> Yêu cầu</w:t>
      </w:r>
      <w:r>
        <w:rPr>
          <w:rFonts w:hint="default" w:ascii="Times New Roman" w:hAnsi="Times New Roman" w:eastAsia="Times New Roman" w:cs="Times New Roman"/>
          <w:b/>
          <w:bCs/>
          <w:sz w:val="28"/>
          <w:lang w:val="en-US" w:eastAsia="vi-VN"/>
        </w:rPr>
        <w:t>:</w:t>
      </w:r>
    </w:p>
    <w:p w14:paraId="676E38E8">
      <w:pPr>
        <w:tabs>
          <w:tab w:val="left" w:pos="-5940"/>
          <w:tab w:val="left" w:pos="0"/>
        </w:tabs>
        <w:spacing w:before="120" w:after="0" w:line="240" w:lineRule="auto"/>
        <w:ind w:right="-18" w:firstLine="540"/>
        <w:jc w:val="both"/>
        <w:rPr>
          <w:rFonts w:hint="default" w:ascii="Times New Roman" w:hAnsi="Times New Roman" w:eastAsia="Times New Roman" w:cs="Times New Roman"/>
          <w:sz w:val="28"/>
          <w:lang w:val="en-US" w:eastAsia="vi-VN"/>
        </w:rPr>
      </w:pPr>
      <w:r>
        <w:rPr>
          <w:rFonts w:hint="default" w:ascii="Times New Roman" w:hAnsi="Times New Roman" w:eastAsia="Times New Roman" w:cs="Times New Roman"/>
          <w:sz w:val="28"/>
          <w:lang w:val="en-US" w:eastAsia="vi-VN"/>
        </w:rPr>
        <w:t>(i) Việc xây dựng và ban hành Nghị định phải bảo đảm tính hợp hiến, hợp pháp, thống nhất và đồng bộ với hệ thống pháp luật hiện hành, đặc biệt là Luật Hợp tác xã năm 2023 và các luật có liên quan; phù hợp với định hướng cải cách thể chế theo Nghị quyết số 66-NQ/TW, trong đó nhấn mạnh yêu cầu chuyển từ tư duy quản lý sang kiến tạo phát triển, lấy người dân và doanh nghiệp làm trung tâm.</w:t>
      </w:r>
    </w:p>
    <w:p w14:paraId="23AE8546">
      <w:pPr>
        <w:tabs>
          <w:tab w:val="left" w:pos="-5940"/>
          <w:tab w:val="left" w:pos="0"/>
        </w:tabs>
        <w:spacing w:before="120" w:after="0" w:line="240" w:lineRule="auto"/>
        <w:ind w:right="-18" w:firstLine="540"/>
        <w:jc w:val="both"/>
        <w:rPr>
          <w:rFonts w:hint="default" w:ascii="Times New Roman" w:hAnsi="Times New Roman" w:eastAsia="Times New Roman" w:cs="Times New Roman"/>
          <w:sz w:val="28"/>
          <w:lang w:val="en-US" w:eastAsia="vi-VN"/>
        </w:rPr>
      </w:pPr>
      <w:r>
        <w:rPr>
          <w:rFonts w:hint="default" w:ascii="Times New Roman" w:hAnsi="Times New Roman" w:eastAsia="Times New Roman" w:cs="Times New Roman"/>
          <w:sz w:val="28"/>
          <w:lang w:val="en-US" w:eastAsia="vi-VN"/>
        </w:rPr>
        <w:t>(ii) Các quy định phải rõ ràng, minh bạch, dễ hiểu, dễ thực hiện; đơn giản hóa tối đa thủ tục hành chính; tăng cường phân cấp, phân quyền cho địa phương gắn với cơ chế kiểm tra, giám sát hiệu quả; chuyển mạnh từ tiền kiểm sang hậu kiểm, lấy kết quả đầu ra và hiệu quả của chuỗi liên kết làm tiêu chí đánh giá chính.</w:t>
      </w:r>
    </w:p>
    <w:p w14:paraId="574EF045">
      <w:pPr>
        <w:tabs>
          <w:tab w:val="left" w:pos="-5940"/>
          <w:tab w:val="left" w:pos="0"/>
        </w:tabs>
        <w:spacing w:before="120" w:after="0" w:line="240" w:lineRule="auto"/>
        <w:ind w:right="-18" w:firstLine="540"/>
        <w:jc w:val="both"/>
        <w:rPr>
          <w:rFonts w:hint="default" w:ascii="Times New Roman" w:hAnsi="Times New Roman" w:eastAsia="Times New Roman" w:cs="Times New Roman"/>
          <w:sz w:val="28"/>
          <w:lang w:val="en-US" w:eastAsia="vi-VN"/>
        </w:rPr>
      </w:pPr>
      <w:r>
        <w:rPr>
          <w:rFonts w:hint="default" w:ascii="Times New Roman" w:hAnsi="Times New Roman" w:eastAsia="Times New Roman" w:cs="Times New Roman"/>
          <w:sz w:val="28"/>
          <w:lang w:val="en-US" w:eastAsia="vi-VN"/>
        </w:rPr>
        <w:t>(iii) Chính sách phải bảo đảm tính khả thi cao, phù hợp với điều kiện thực tiễn của các chủ thể tham gia, đặc biệt là hợp tác xã và nông dân; tạo điều kiện thuận lợi để các chủ thể dễ dàng tiếp cận và thụ hưởng chính sách. Đồng thời, khuyến khích mạnh mẽ việc ứng dụng khoa học công nghệ, chuyển đổi số, đổi mới sáng tạo trong tổ chức sản xuất và quản trị chuỗi giá trị; thúc đẩy tính tự chủ, tự chịu trách nhiệm và nâng cao năng lực cạnh tranh của các chủ thể trong nền kinh tế thị trường.</w:t>
      </w:r>
    </w:p>
    <w:p w14:paraId="72962C59">
      <w:pPr>
        <w:spacing w:before="120" w:after="0" w:line="240" w:lineRule="auto"/>
        <w:ind w:firstLine="539"/>
        <w:jc w:val="both"/>
        <w:rPr>
          <w:rFonts w:hint="default" w:ascii="Times New Roman" w:hAnsi="Times New Roman" w:eastAsia="Times New Roman" w:cs="Times New Roman"/>
          <w:b/>
          <w:spacing w:val="-4"/>
          <w:sz w:val="28"/>
          <w:lang w:val="en-US"/>
        </w:rPr>
      </w:pPr>
      <w:r>
        <w:rPr>
          <w:rFonts w:ascii="Times New Roman" w:hAnsi="Times New Roman" w:eastAsia="Times New Roman" w:cs="Times New Roman"/>
          <w:b/>
          <w:spacing w:val="-4"/>
          <w:sz w:val="28"/>
        </w:rPr>
        <w:t xml:space="preserve">2. </w:t>
      </w:r>
      <w:r>
        <w:rPr>
          <w:rFonts w:hint="default" w:ascii="Times New Roman" w:hAnsi="Times New Roman" w:eastAsia="Times New Roman" w:cs="Times New Roman"/>
          <w:b/>
          <w:spacing w:val="-4"/>
          <w:sz w:val="28"/>
          <w:lang w:val="en-US"/>
        </w:rPr>
        <w:t>Những vấn đề mới phát sinh trong thực tiễn cần điều chỉnh</w:t>
      </w:r>
    </w:p>
    <w:p w14:paraId="0B176419">
      <w:pPr>
        <w:tabs>
          <w:tab w:val="left" w:pos="-5940"/>
          <w:tab w:val="left" w:pos="0"/>
        </w:tabs>
        <w:spacing w:before="120" w:after="0" w:line="240" w:lineRule="auto"/>
        <w:ind w:right="-18" w:firstLine="540"/>
        <w:jc w:val="both"/>
        <w:rPr>
          <w:rFonts w:hint="default" w:ascii="Times New Roman" w:hAnsi="Times New Roman" w:eastAsia="Times New Roman" w:cs="Times New Roman"/>
          <w:b/>
          <w:bCs/>
          <w:i/>
          <w:iCs/>
          <w:sz w:val="28"/>
          <w:lang w:val="en-US" w:eastAsia="vi-VN"/>
        </w:rPr>
      </w:pPr>
      <w:r>
        <w:rPr>
          <w:rFonts w:hint="default" w:ascii="Times New Roman" w:hAnsi="Times New Roman" w:eastAsia="Times New Roman" w:cs="Times New Roman"/>
          <w:b/>
          <w:bCs/>
          <w:i/>
          <w:iCs/>
          <w:sz w:val="28"/>
          <w:lang w:val="en-US" w:eastAsia="vi-VN"/>
        </w:rPr>
        <w:t>2.1. Thay đổi về phạm vi điều chỉnh và cách tiếp cận chính sách liên kết theo hướng nâng cấp từ “khuyến khích liên kết” sang “phát triển chuỗi giá trị nông nghiệp bền vững”</w:t>
      </w:r>
    </w:p>
    <w:p w14:paraId="2ECEE754">
      <w:pPr>
        <w:tabs>
          <w:tab w:val="left" w:pos="-5940"/>
          <w:tab w:val="left" w:pos="0"/>
        </w:tabs>
        <w:spacing w:before="120" w:after="0" w:line="240" w:lineRule="auto"/>
        <w:ind w:right="-18" w:firstLine="540"/>
        <w:jc w:val="both"/>
        <w:rPr>
          <w:rFonts w:hint="default" w:ascii="Times New Roman" w:hAnsi="Times New Roman" w:eastAsia="Times New Roman" w:cs="Times New Roman"/>
          <w:sz w:val="28"/>
          <w:lang w:val="en-US" w:eastAsia="vi-VN"/>
        </w:rPr>
      </w:pPr>
      <w:r>
        <w:rPr>
          <w:rFonts w:hint="default" w:ascii="Times New Roman" w:hAnsi="Times New Roman" w:eastAsia="Times New Roman" w:cs="Times New Roman"/>
          <w:sz w:val="28"/>
          <w:lang w:val="en-US" w:eastAsia="vi-VN"/>
        </w:rPr>
        <w:t>Nghị định số 98/2018/NĐ-CP được xây dựng với mục tiêu khuyến khích hợp tác, liên kết trong sản xuất và tiêu thụ sản phẩm nông nghiệp, trong đó trọng tâm là hỗ trợ hình thành các mối liên kết giữa doanh nghiệp, hợp tác xã và người sản xuất nhằm bảo đảm đầu ra cho sản phẩm. Tuy nhiên, cách tiếp cận này chủ yếu dừng ở việc thúc đẩy liên kết giữa các khâu riêng lẻ, chưa bao quát đầy đủ yêu cầu phát triển chuỗi giá trị nông nghiệp trong bối cảnh mới.</w:t>
      </w:r>
    </w:p>
    <w:p w14:paraId="4A04B612">
      <w:pPr>
        <w:tabs>
          <w:tab w:val="left" w:pos="-5940"/>
          <w:tab w:val="left" w:pos="0"/>
        </w:tabs>
        <w:spacing w:before="120" w:after="0" w:line="240" w:lineRule="auto"/>
        <w:ind w:right="-18" w:firstLine="540"/>
        <w:jc w:val="both"/>
        <w:rPr>
          <w:rFonts w:hint="default" w:ascii="Times New Roman" w:hAnsi="Times New Roman" w:eastAsia="Times New Roman" w:cs="Times New Roman"/>
          <w:sz w:val="28"/>
          <w:lang w:val="en-US" w:eastAsia="vi-VN"/>
        </w:rPr>
      </w:pPr>
      <w:r>
        <w:rPr>
          <w:rFonts w:hint="default" w:ascii="Times New Roman" w:hAnsi="Times New Roman" w:eastAsia="Times New Roman" w:cs="Times New Roman"/>
          <w:sz w:val="28"/>
          <w:lang w:val="en-US" w:eastAsia="vi-VN"/>
        </w:rPr>
        <w:t>Do đó, Nghị định mới cần có sự điều chỉnh căn bản về phạm vi và cách tiếp cận chính sách theo hướng:</w:t>
      </w:r>
    </w:p>
    <w:p w14:paraId="1CCCF654">
      <w:pPr>
        <w:numPr>
          <w:ilvl w:val="0"/>
          <w:numId w:val="1"/>
        </w:numPr>
        <w:tabs>
          <w:tab w:val="left" w:pos="-5940"/>
          <w:tab w:val="left" w:pos="0"/>
        </w:tabs>
        <w:spacing w:before="120" w:after="0" w:line="240" w:lineRule="auto"/>
        <w:ind w:right="-18" w:firstLine="540"/>
        <w:jc w:val="both"/>
        <w:rPr>
          <w:rFonts w:hint="default" w:ascii="Times New Roman" w:hAnsi="Times New Roman" w:eastAsia="Times New Roman" w:cs="Times New Roman"/>
          <w:sz w:val="28"/>
          <w:lang w:val="en-US" w:eastAsia="vi-VN"/>
        </w:rPr>
      </w:pPr>
      <w:r>
        <w:rPr>
          <w:rFonts w:hint="default" w:ascii="Times New Roman" w:hAnsi="Times New Roman" w:eastAsia="Times New Roman" w:cs="Times New Roman"/>
          <w:sz w:val="28"/>
          <w:lang w:val="en-US" w:eastAsia="vi-VN"/>
        </w:rPr>
        <w:t xml:space="preserve">Mở rộng từ </w:t>
      </w:r>
      <w:r>
        <w:rPr>
          <w:rFonts w:hint="default" w:ascii="Times New Roman" w:hAnsi="Times New Roman" w:eastAsia="Times New Roman" w:cs="Times New Roman"/>
          <w:i/>
          <w:iCs/>
          <w:sz w:val="28"/>
          <w:lang w:val="en-US" w:eastAsia="vi-VN"/>
        </w:rPr>
        <w:t>“liên kết sản xuất - tiêu thụ”</w:t>
      </w:r>
      <w:r>
        <w:rPr>
          <w:rFonts w:hint="default" w:ascii="Times New Roman" w:hAnsi="Times New Roman" w:eastAsia="Times New Roman" w:cs="Times New Roman"/>
          <w:sz w:val="28"/>
          <w:lang w:val="en-US" w:eastAsia="vi-VN"/>
        </w:rPr>
        <w:t xml:space="preserve"> sang </w:t>
      </w:r>
      <w:r>
        <w:rPr>
          <w:rFonts w:hint="default" w:ascii="Times New Roman" w:hAnsi="Times New Roman" w:eastAsia="Times New Roman" w:cs="Times New Roman"/>
          <w:i/>
          <w:iCs/>
          <w:sz w:val="28"/>
          <w:lang w:val="en-US" w:eastAsia="vi-VN"/>
        </w:rPr>
        <w:t>“phát triển chuỗi giá trị nông nghiệp bền vững”</w:t>
      </w:r>
      <w:r>
        <w:rPr>
          <w:rFonts w:hint="default" w:ascii="Times New Roman" w:hAnsi="Times New Roman" w:eastAsia="Times New Roman" w:cs="Times New Roman"/>
          <w:sz w:val="28"/>
          <w:lang w:val="en-US" w:eastAsia="vi-VN"/>
        </w:rPr>
        <w:t>, bao trùm toàn bộ các khâu từ cung ứng đầu vào, tổ chức sản xuất, thu hoạch, sơ chế, chế biến, bảo quản, logistics đến thị trường;</w:t>
      </w:r>
    </w:p>
    <w:p w14:paraId="2EBE2756">
      <w:pPr>
        <w:tabs>
          <w:tab w:val="left" w:pos="-5940"/>
          <w:tab w:val="left" w:pos="0"/>
        </w:tabs>
        <w:spacing w:before="120" w:after="0" w:line="240" w:lineRule="auto"/>
        <w:ind w:right="-18" w:firstLine="540"/>
        <w:jc w:val="both"/>
        <w:rPr>
          <w:rFonts w:hint="default" w:ascii="Times New Roman" w:hAnsi="Times New Roman" w:eastAsia="Times New Roman" w:cs="Times New Roman"/>
          <w:sz w:val="28"/>
          <w:lang w:val="en-US" w:eastAsia="vi-VN"/>
        </w:rPr>
      </w:pPr>
      <w:r>
        <w:rPr>
          <w:rFonts w:hint="default" w:ascii="Times New Roman" w:hAnsi="Times New Roman" w:eastAsia="Times New Roman" w:cs="Times New Roman"/>
          <w:sz w:val="28"/>
          <w:lang w:val="en-US" w:eastAsia="vi-VN"/>
        </w:rPr>
        <w:t>(ii) Bổ sung các nội dung cốt lõi của chuỗi giá trị, bao gồm: Phát triển vùng nguyên liệu tập trung, đạt chuẩn, gắn với tổ chức sản xuất quy mô lớn; Thúc đẩy chuyển đổi số trong quản lý sản xuất, truy xuất nguồn gốc và điều hành chuỗi; Lồng ghép yêu cầu chuyển đổi xanh, giảm phát thải, kinh tế tuần hoàn và thích ứng biến đổi khí hậu; Thiết lập cơ chế phối hợp, điều phối giữa các chủ thể trong chuỗi, bảo đảm liên kết chặt chẽ và vận hành hiệu quả theo cơ chế thị trường.</w:t>
      </w:r>
    </w:p>
    <w:p w14:paraId="6C80DF7B">
      <w:pPr>
        <w:tabs>
          <w:tab w:val="left" w:pos="-5940"/>
          <w:tab w:val="left" w:pos="0"/>
        </w:tabs>
        <w:spacing w:before="120" w:after="0" w:line="240" w:lineRule="auto"/>
        <w:ind w:right="-18" w:firstLine="540"/>
        <w:jc w:val="both"/>
        <w:rPr>
          <w:rFonts w:hint="default" w:ascii="Times New Roman" w:hAnsi="Times New Roman" w:eastAsia="Times New Roman" w:cs="Times New Roman"/>
          <w:sz w:val="28"/>
          <w:lang w:val="en-US" w:eastAsia="vi-VN"/>
        </w:rPr>
      </w:pPr>
      <w:r>
        <w:rPr>
          <w:rFonts w:hint="default" w:ascii="Times New Roman" w:hAnsi="Times New Roman" w:eastAsia="Times New Roman" w:cs="Times New Roman"/>
          <w:sz w:val="28"/>
          <w:lang w:val="en-US" w:eastAsia="vi-VN"/>
        </w:rPr>
        <w:t>Việc chuyển đổi này thể hiện sự thay đổi mang tính chiến lược và toàn diện, từ tư duy hỗ trợ các liên kết đơn lẻ, mang tính dự án sang kiến tạo hệ sinh thái chuỗi giá trị nông nghiệp, trong đó các chủ thể tham gia được gắn kết chặt chẽ, vận hành theo cơ chế thị trường, có khả năng duy trì ổn định, nâng cao giá trị gia tăng và phát triển bền vững.</w:t>
      </w:r>
    </w:p>
    <w:p w14:paraId="4F6B8FE3">
      <w:pPr>
        <w:tabs>
          <w:tab w:val="left" w:pos="-5940"/>
          <w:tab w:val="left" w:pos="0"/>
        </w:tabs>
        <w:spacing w:before="120" w:after="0" w:line="240" w:lineRule="auto"/>
        <w:ind w:right="-18" w:firstLine="540"/>
        <w:jc w:val="both"/>
        <w:rPr>
          <w:rFonts w:hint="default" w:ascii="Times New Roman" w:hAnsi="Times New Roman" w:eastAsia="Times New Roman" w:cs="Times New Roman"/>
          <w:b/>
          <w:bCs/>
          <w:i/>
          <w:iCs/>
          <w:sz w:val="28"/>
          <w:lang w:val="en-US" w:eastAsia="vi-VN"/>
        </w:rPr>
      </w:pPr>
      <w:r>
        <w:rPr>
          <w:rFonts w:hint="default" w:ascii="Times New Roman" w:hAnsi="Times New Roman" w:eastAsia="Times New Roman" w:cs="Times New Roman"/>
          <w:b/>
          <w:bCs/>
          <w:i/>
          <w:iCs/>
          <w:sz w:val="28"/>
          <w:lang w:val="en-US" w:eastAsia="vi-VN"/>
        </w:rPr>
        <w:t>2.2. Bổ sung, hoàn thiện hệ thống khái niệm trong chính sách</w:t>
      </w:r>
    </w:p>
    <w:p w14:paraId="05AE7F42">
      <w:pPr>
        <w:tabs>
          <w:tab w:val="left" w:pos="-5940"/>
          <w:tab w:val="left" w:pos="0"/>
        </w:tabs>
        <w:spacing w:before="120" w:after="0" w:line="240" w:lineRule="auto"/>
        <w:ind w:right="-18" w:firstLine="540"/>
        <w:jc w:val="both"/>
        <w:rPr>
          <w:rFonts w:hint="default" w:ascii="Times New Roman" w:hAnsi="Times New Roman" w:eastAsia="Times New Roman" w:cs="Times New Roman"/>
          <w:sz w:val="28"/>
          <w:lang w:val="en-US" w:eastAsia="vi-VN"/>
        </w:rPr>
      </w:pPr>
      <w:r>
        <w:rPr>
          <w:rFonts w:hint="default" w:ascii="Times New Roman" w:hAnsi="Times New Roman" w:eastAsia="Times New Roman" w:cs="Times New Roman"/>
          <w:sz w:val="28"/>
          <w:lang w:val="en-US" w:eastAsia="vi-VN"/>
        </w:rPr>
        <w:t>Một trong những nội dung đổi mới quan trọng của Nghị định mới là bổ sung và hoàn thiện hệ thống khái niệm, khắc phục những hạn chế của Nghị định số 98/2018/NĐ-CP vốn chưa thiết lập đầy đủ cơ sở lý luận và pháp lý cho việc phát triển chuỗi giá trị nông nghiệp. Những khái niệm cốt lõi cần được làm rõ gồm:</w:t>
      </w:r>
    </w:p>
    <w:p w14:paraId="451A5E96">
      <w:pPr>
        <w:tabs>
          <w:tab w:val="left" w:pos="-5940"/>
          <w:tab w:val="left" w:pos="0"/>
        </w:tabs>
        <w:spacing w:before="120" w:after="0" w:line="240" w:lineRule="auto"/>
        <w:ind w:right="-18" w:firstLine="540"/>
        <w:jc w:val="both"/>
        <w:rPr>
          <w:rFonts w:hint="default" w:ascii="Times New Roman" w:hAnsi="Times New Roman" w:eastAsia="Times New Roman" w:cs="Times New Roman"/>
          <w:sz w:val="28"/>
          <w:lang w:val="en-US" w:eastAsia="vi-VN"/>
        </w:rPr>
      </w:pPr>
      <w:r>
        <w:rPr>
          <w:rFonts w:hint="default" w:ascii="Times New Roman" w:hAnsi="Times New Roman" w:eastAsia="Times New Roman" w:cs="Times New Roman"/>
          <w:sz w:val="28"/>
          <w:lang w:val="en-US" w:eastAsia="vi-VN"/>
        </w:rPr>
        <w:t>- Khái niệm “chuỗi giá trị nông nghiệp”: nhằm xác định rõ phạm vi, cấu trúc và các khâu liên kết trong toàn bộ quá trình từ cung ứng đầu vào, tổ chức sản xuất đến tiêu thụ sản phẩm, qua đó làm cơ sở cho việc thiết kế chính sách theo hướng đồng bộ, hệ thống;</w:t>
      </w:r>
    </w:p>
    <w:p w14:paraId="61A19DB8">
      <w:pPr>
        <w:tabs>
          <w:tab w:val="left" w:pos="-5940"/>
          <w:tab w:val="left" w:pos="0"/>
        </w:tabs>
        <w:spacing w:before="120" w:after="0" w:line="240" w:lineRule="auto"/>
        <w:ind w:right="-18" w:firstLine="540"/>
        <w:jc w:val="both"/>
        <w:rPr>
          <w:rFonts w:hint="default" w:ascii="Times New Roman" w:hAnsi="Times New Roman" w:eastAsia="Times New Roman" w:cs="Times New Roman"/>
          <w:sz w:val="28"/>
          <w:lang w:val="en-US" w:eastAsia="vi-VN"/>
        </w:rPr>
      </w:pPr>
      <w:r>
        <w:rPr>
          <w:rFonts w:hint="default" w:ascii="Times New Roman" w:hAnsi="Times New Roman" w:eastAsia="Times New Roman" w:cs="Times New Roman"/>
          <w:sz w:val="28"/>
          <w:lang w:val="en-US" w:eastAsia="vi-VN"/>
        </w:rPr>
        <w:t>- Khái niệm “chủ thể trung tâm của chuỗi”: nhằm xác định rõ vai trò của các chủ thể có chức năng tổ chức, điều phối và dẫn dắt chuỗi (như doanh nghiệp, hợp tác xã), làm cơ sở để quy định quyền, trách nhiệm và cơ chế hỗ trợ phù hợp;</w:t>
      </w:r>
    </w:p>
    <w:p w14:paraId="796CD0B1">
      <w:pPr>
        <w:tabs>
          <w:tab w:val="left" w:pos="-5940"/>
          <w:tab w:val="left" w:pos="0"/>
        </w:tabs>
        <w:spacing w:before="120" w:after="0" w:line="240" w:lineRule="auto"/>
        <w:ind w:right="-18" w:firstLine="540"/>
        <w:jc w:val="both"/>
        <w:rPr>
          <w:rFonts w:hint="default" w:ascii="Times New Roman" w:hAnsi="Times New Roman" w:eastAsia="Times New Roman" w:cs="Times New Roman"/>
          <w:sz w:val="28"/>
          <w:lang w:val="en-US" w:eastAsia="vi-VN"/>
        </w:rPr>
      </w:pPr>
      <w:r>
        <w:rPr>
          <w:rFonts w:hint="default" w:ascii="Times New Roman" w:hAnsi="Times New Roman" w:eastAsia="Times New Roman" w:cs="Times New Roman"/>
          <w:sz w:val="28"/>
          <w:lang w:val="en-US" w:eastAsia="vi-VN"/>
        </w:rPr>
        <w:t>- Khái niệm “mua bán nông sản”: cần được bổ sung để phân biệt với “liên kết chuỗi giá trị”, qua đó làm rõ bản chất của các quan hệ giao dịch đơn lẻ trên thị trường. Theo đó:</w:t>
      </w:r>
    </w:p>
    <w:p w14:paraId="4CC33CA4">
      <w:pPr>
        <w:tabs>
          <w:tab w:val="left" w:pos="-5940"/>
          <w:tab w:val="left" w:pos="0"/>
        </w:tabs>
        <w:spacing w:before="120" w:after="0" w:line="240" w:lineRule="auto"/>
        <w:ind w:right="-18" w:firstLine="540"/>
        <w:jc w:val="both"/>
        <w:rPr>
          <w:rFonts w:hint="default" w:ascii="Times New Roman" w:hAnsi="Times New Roman" w:eastAsia="Times New Roman" w:cs="Times New Roman"/>
          <w:sz w:val="28"/>
          <w:lang w:val="en-US" w:eastAsia="vi-VN"/>
        </w:rPr>
      </w:pPr>
      <w:r>
        <w:rPr>
          <w:rFonts w:hint="default" w:ascii="Times New Roman" w:hAnsi="Times New Roman" w:eastAsia="Times New Roman" w:cs="Times New Roman"/>
          <w:sz w:val="28"/>
          <w:lang w:val="en-US" w:eastAsia="vi-VN"/>
        </w:rPr>
        <w:t>+ “Mua bán nông sản” được xác định là quan hệ giao dịch thương mại đơn lẻ, không gắn với các cam kết dài hạn về tổ chức sản xuất, tiêu chuẩn chất lượng và chia sẻ lợi ích, rủi ro;</w:t>
      </w:r>
    </w:p>
    <w:p w14:paraId="0949CEEB">
      <w:pPr>
        <w:tabs>
          <w:tab w:val="left" w:pos="-5940"/>
          <w:tab w:val="left" w:pos="0"/>
        </w:tabs>
        <w:spacing w:before="120" w:after="0" w:line="240" w:lineRule="auto"/>
        <w:ind w:right="-18" w:firstLine="540"/>
        <w:jc w:val="both"/>
        <w:rPr>
          <w:rFonts w:hint="default" w:ascii="Times New Roman" w:hAnsi="Times New Roman" w:eastAsia="Times New Roman" w:cs="Times New Roman"/>
          <w:sz w:val="28"/>
          <w:lang w:val="en-US" w:eastAsia="vi-VN"/>
        </w:rPr>
      </w:pPr>
      <w:r>
        <w:rPr>
          <w:rFonts w:hint="default" w:ascii="Times New Roman" w:hAnsi="Times New Roman" w:eastAsia="Times New Roman" w:cs="Times New Roman"/>
          <w:sz w:val="28"/>
          <w:lang w:val="en-US" w:eastAsia="vi-VN"/>
        </w:rPr>
        <w:t>+ “Liên kết chuỗi giá trị” là quan hệ hợp tác có tổ chức, xuyên suốt các khâu của chuỗi, có sự tham gia của nhiều chủ thể, gắn với các cam kết về sản lượng, chất lượng, tiêu chuẩn, truy xuất nguồn gốc và cơ chế phân chia lợi ích, rủi ro.</w:t>
      </w:r>
    </w:p>
    <w:p w14:paraId="1B316892">
      <w:pPr>
        <w:tabs>
          <w:tab w:val="left" w:pos="-5940"/>
          <w:tab w:val="left" w:pos="0"/>
        </w:tabs>
        <w:spacing w:before="120" w:after="0" w:line="240" w:lineRule="auto"/>
        <w:ind w:right="-18" w:firstLine="540"/>
        <w:jc w:val="both"/>
        <w:rPr>
          <w:rFonts w:hint="default" w:ascii="Times New Roman" w:hAnsi="Times New Roman" w:eastAsia="Times New Roman" w:cs="Times New Roman"/>
          <w:sz w:val="28"/>
          <w:lang w:val="en-US" w:eastAsia="vi-VN"/>
        </w:rPr>
      </w:pPr>
      <w:r>
        <w:rPr>
          <w:rFonts w:hint="default" w:ascii="Times New Roman" w:hAnsi="Times New Roman" w:eastAsia="Times New Roman" w:cs="Times New Roman"/>
          <w:sz w:val="28"/>
          <w:lang w:val="en-US" w:eastAsia="vi-VN"/>
        </w:rPr>
        <w:t>- Khái niệm “dữ liệu chuỗi giá trị”: nhằm phục vụ yêu cầu quản lý, truy xuất nguồn gốc, chuyển đổi số và minh bạch thông tin trong toàn bộ chuỗi;</w:t>
      </w:r>
    </w:p>
    <w:p w14:paraId="17B52016">
      <w:pPr>
        <w:tabs>
          <w:tab w:val="left" w:pos="-5940"/>
          <w:tab w:val="left" w:pos="0"/>
        </w:tabs>
        <w:spacing w:before="120" w:after="0" w:line="240" w:lineRule="auto"/>
        <w:ind w:right="-18" w:firstLine="540"/>
        <w:jc w:val="both"/>
        <w:rPr>
          <w:rFonts w:hint="default" w:ascii="Times New Roman" w:hAnsi="Times New Roman" w:eastAsia="Times New Roman" w:cs="Times New Roman"/>
          <w:sz w:val="28"/>
          <w:lang w:val="en-US" w:eastAsia="vi-VN"/>
        </w:rPr>
      </w:pPr>
      <w:r>
        <w:rPr>
          <w:rFonts w:hint="default" w:ascii="Times New Roman" w:hAnsi="Times New Roman" w:eastAsia="Times New Roman" w:cs="Times New Roman"/>
          <w:sz w:val="28"/>
          <w:lang w:val="en-US" w:eastAsia="vi-VN"/>
        </w:rPr>
        <w:t>- Khái niệm “vùng nguyên liệu nông nghiệp”: xác định nền tảng tổ chức sản xuất của chuỗi giá trị, gắn với yêu cầu về quy mô, tiêu chuẩn, truy xuất nguồn gốc và ổn định cung ứng.</w:t>
      </w:r>
    </w:p>
    <w:p w14:paraId="18FFC38B">
      <w:pPr>
        <w:tabs>
          <w:tab w:val="left" w:pos="-5940"/>
          <w:tab w:val="left" w:pos="0"/>
        </w:tabs>
        <w:spacing w:before="120" w:after="0" w:line="240" w:lineRule="auto"/>
        <w:ind w:right="-18" w:firstLine="540"/>
        <w:jc w:val="both"/>
        <w:rPr>
          <w:rFonts w:hint="default" w:ascii="Times New Roman" w:hAnsi="Times New Roman" w:eastAsia="Times New Roman" w:cs="Times New Roman"/>
          <w:sz w:val="28"/>
          <w:lang w:val="en-US" w:eastAsia="vi-VN"/>
        </w:rPr>
      </w:pPr>
      <w:r>
        <w:rPr>
          <w:rFonts w:hint="default" w:ascii="Times New Roman" w:hAnsi="Times New Roman" w:eastAsia="Times New Roman" w:cs="Times New Roman"/>
          <w:sz w:val="28"/>
          <w:lang w:val="en-US" w:eastAsia="vi-VN"/>
        </w:rPr>
        <w:t>Việc bổ sung và chuẩn hóa các khái niệm nêu trên có ý nghĩa quan trọng trong việc hoàn thiện cơ sở pháp lý cho phát triển chuỗi giá trị nông nghiệp; nâng cao tính minh bạch, thống nhất trong tổ chức thực hiện; ngăn ngừa tình trạng lợi dụng chính sách, khi các quan hệ mua bán thông thường được “hợp thức hóa” thành liên kết để hưởng hỗ trợ của Nhà nước; tạo nền tảng cho việc thiết kế chính sách theo hướng hiện đại, phù hợp với cơ chế thị trường và thông lệ quốc tế.</w:t>
      </w:r>
    </w:p>
    <w:p w14:paraId="5932C581">
      <w:pPr>
        <w:tabs>
          <w:tab w:val="left" w:pos="-5940"/>
          <w:tab w:val="left" w:pos="0"/>
        </w:tabs>
        <w:spacing w:before="120" w:after="0" w:line="240" w:lineRule="auto"/>
        <w:ind w:right="-18" w:firstLine="540"/>
        <w:jc w:val="both"/>
        <w:rPr>
          <w:rFonts w:hint="default" w:ascii="Times New Roman" w:hAnsi="Times New Roman" w:eastAsia="Times New Roman" w:cs="Times New Roman"/>
          <w:b/>
          <w:bCs/>
          <w:i/>
          <w:iCs/>
          <w:sz w:val="28"/>
          <w:lang w:val="en-US" w:eastAsia="vi-VN"/>
        </w:rPr>
      </w:pPr>
      <w:r>
        <w:rPr>
          <w:rFonts w:hint="default" w:ascii="Times New Roman" w:hAnsi="Times New Roman" w:eastAsia="Times New Roman" w:cs="Times New Roman"/>
          <w:b/>
          <w:bCs/>
          <w:i/>
          <w:iCs/>
          <w:sz w:val="28"/>
          <w:lang w:val="en-US" w:eastAsia="vi-VN"/>
        </w:rPr>
        <w:t>2.3. Tái cấu trúc hình thức tổ chức liên kết theo hướng chuỗi giá trị</w:t>
      </w:r>
    </w:p>
    <w:p w14:paraId="7274359B">
      <w:pPr>
        <w:tabs>
          <w:tab w:val="left" w:pos="-5940"/>
          <w:tab w:val="left" w:pos="0"/>
        </w:tabs>
        <w:spacing w:before="120" w:after="0" w:line="240" w:lineRule="auto"/>
        <w:ind w:right="-18" w:firstLine="540"/>
        <w:jc w:val="both"/>
        <w:rPr>
          <w:rFonts w:hint="default" w:ascii="Times New Roman" w:hAnsi="Times New Roman" w:eastAsia="Times New Roman" w:cs="Times New Roman"/>
          <w:sz w:val="28"/>
          <w:lang w:val="en-US" w:eastAsia="vi-VN"/>
        </w:rPr>
      </w:pPr>
      <w:r>
        <w:rPr>
          <w:rFonts w:hint="default" w:ascii="Times New Roman" w:hAnsi="Times New Roman" w:eastAsia="Times New Roman" w:cs="Times New Roman"/>
          <w:sz w:val="28"/>
          <w:lang w:val="en-US" w:eastAsia="vi-VN"/>
        </w:rPr>
        <w:t>Nghị định số 98/2018/NĐ-CP quy định tại Điều 4 về 07 hình thức liên kết, được phân loại chủ yếu theo từng công đoạn của quá trình sản xuất và tiêu thụ (cung ứng đầu vào, sản xuất, thu hoạch, sơ chế, chế biến, tiêu thụ…). Cách tiếp cận này mang tính liệt kê cơ học, chưa phản ánh đầy đủ bản chất vận hành của chuỗi giá trị nông nghiệp trong thực tiễn.</w:t>
      </w:r>
    </w:p>
    <w:p w14:paraId="3C772CA7">
      <w:pPr>
        <w:tabs>
          <w:tab w:val="left" w:pos="-5940"/>
          <w:tab w:val="left" w:pos="0"/>
        </w:tabs>
        <w:spacing w:before="120" w:after="0" w:line="240" w:lineRule="auto"/>
        <w:ind w:right="-18" w:firstLine="540"/>
        <w:jc w:val="both"/>
        <w:rPr>
          <w:rFonts w:hint="default" w:ascii="Times New Roman" w:hAnsi="Times New Roman" w:eastAsia="Times New Roman" w:cs="Times New Roman"/>
          <w:sz w:val="28"/>
          <w:lang w:val="en-US" w:eastAsia="vi-VN"/>
        </w:rPr>
      </w:pPr>
      <w:r>
        <w:rPr>
          <w:rFonts w:hint="default" w:ascii="Times New Roman" w:hAnsi="Times New Roman" w:eastAsia="Times New Roman" w:cs="Times New Roman"/>
          <w:sz w:val="28"/>
          <w:lang w:val="en-US" w:eastAsia="vi-VN"/>
        </w:rPr>
        <w:t>Trong quá trình triển khai, quy định này bộc lộ một số hạn chế, đó là: (i) Các hình thức liên kết bị chia cắt theo từng khâu, thiếu tính liên thông trong toàn chuỗi; (ii) Không phản ánh đúng các mô hình liên kết thực tế vốn mang tính tích hợp nhiều công đoạn và nhiều chủ thể; (iii) Gây khó khăn trong công tác thống kê, đánh giá và tổ chức thực hiện tại địa phương.</w:t>
      </w:r>
    </w:p>
    <w:p w14:paraId="467BC095">
      <w:pPr>
        <w:tabs>
          <w:tab w:val="left" w:pos="-5940"/>
          <w:tab w:val="left" w:pos="0"/>
        </w:tabs>
        <w:spacing w:before="120" w:after="0" w:line="240" w:lineRule="auto"/>
        <w:ind w:right="-18" w:firstLine="540"/>
        <w:jc w:val="both"/>
        <w:rPr>
          <w:rFonts w:hint="default" w:ascii="Times New Roman" w:hAnsi="Times New Roman" w:eastAsia="Times New Roman" w:cs="Times New Roman"/>
          <w:sz w:val="28"/>
          <w:lang w:val="en-US" w:eastAsia="vi-VN"/>
        </w:rPr>
      </w:pPr>
      <w:r>
        <w:rPr>
          <w:rFonts w:hint="default" w:ascii="Times New Roman" w:hAnsi="Times New Roman" w:eastAsia="Times New Roman" w:cs="Times New Roman"/>
          <w:sz w:val="28"/>
          <w:lang w:val="en-US" w:eastAsia="vi-VN"/>
        </w:rPr>
        <w:t>Do đó, việc xây dựng Nghị định mới cần tái cấu trúc cách tiếp cận về hình thức liên kết theo hướng: (i) Không quy định cứng các hình thức liên kết, mà chuyển sang tiếp cận theo mô hình tổ chức và vận hành chuỗi giá trị; (ii) Làm rõ vai trò của “chủ thể trung tâm” trong chuỗi, là các chủ thể có năng lực tổ chức, điều phối và dẫn dắt chuỗi (doanh nghiệp, hợp tác xã);</w:t>
      </w:r>
    </w:p>
    <w:p w14:paraId="5DC9C88A">
      <w:pPr>
        <w:tabs>
          <w:tab w:val="left" w:pos="-5940"/>
          <w:tab w:val="left" w:pos="0"/>
        </w:tabs>
        <w:spacing w:before="120" w:after="0" w:line="240" w:lineRule="auto"/>
        <w:ind w:right="-18" w:firstLine="540"/>
        <w:jc w:val="both"/>
        <w:rPr>
          <w:rFonts w:hint="default" w:ascii="Times New Roman" w:hAnsi="Times New Roman" w:eastAsia="Times New Roman" w:cs="Times New Roman"/>
          <w:sz w:val="28"/>
          <w:lang w:val="en-US" w:eastAsia="vi-VN"/>
        </w:rPr>
      </w:pPr>
      <w:r>
        <w:rPr>
          <w:rFonts w:hint="default" w:ascii="Times New Roman" w:hAnsi="Times New Roman" w:eastAsia="Times New Roman" w:cs="Times New Roman"/>
          <w:sz w:val="28"/>
          <w:lang w:val="en-US" w:eastAsia="vi-VN"/>
        </w:rPr>
        <w:t>Định hướng một số mô hình chuỗi giá trị điển hình, bao gồm:</w:t>
      </w:r>
    </w:p>
    <w:p w14:paraId="6E6B3C35">
      <w:pPr>
        <w:tabs>
          <w:tab w:val="left" w:pos="-5940"/>
          <w:tab w:val="left" w:pos="0"/>
        </w:tabs>
        <w:spacing w:before="120" w:after="0" w:line="240" w:lineRule="auto"/>
        <w:ind w:right="-18" w:firstLine="540"/>
        <w:jc w:val="both"/>
        <w:rPr>
          <w:rFonts w:hint="default" w:ascii="Times New Roman" w:hAnsi="Times New Roman" w:eastAsia="Times New Roman" w:cs="Times New Roman"/>
          <w:sz w:val="28"/>
          <w:lang w:val="en-US" w:eastAsia="vi-VN"/>
        </w:rPr>
      </w:pPr>
      <w:r>
        <w:rPr>
          <w:rFonts w:hint="default" w:ascii="Times New Roman" w:hAnsi="Times New Roman" w:eastAsia="Times New Roman" w:cs="Times New Roman"/>
          <w:sz w:val="28"/>
          <w:lang w:val="en-US" w:eastAsia="vi-VN"/>
        </w:rPr>
        <w:t>- Mô hình doanh nghiệp dẫn dắt: doanh nghiệp đóng vai trò trung tâm (doanh nghiệp là chủ trì chuỗi liên kết), tổ chức sản xuất, phát triển vùng nguyên liệu, chế biến và tiêu thụ sản phẩm;</w:t>
      </w:r>
    </w:p>
    <w:p w14:paraId="1DFB47D1">
      <w:pPr>
        <w:tabs>
          <w:tab w:val="left" w:pos="-5940"/>
          <w:tab w:val="left" w:pos="0"/>
        </w:tabs>
        <w:spacing w:before="120" w:after="0" w:line="240" w:lineRule="auto"/>
        <w:ind w:right="-18" w:firstLine="540"/>
        <w:jc w:val="both"/>
        <w:rPr>
          <w:rFonts w:hint="default" w:ascii="Times New Roman" w:hAnsi="Times New Roman" w:eastAsia="Times New Roman" w:cs="Times New Roman"/>
          <w:sz w:val="28"/>
          <w:lang w:val="en-US" w:eastAsia="vi-VN"/>
        </w:rPr>
      </w:pPr>
      <w:r>
        <w:rPr>
          <w:rFonts w:hint="default" w:ascii="Times New Roman" w:hAnsi="Times New Roman" w:eastAsia="Times New Roman" w:cs="Times New Roman"/>
          <w:sz w:val="28"/>
          <w:lang w:val="en-US" w:eastAsia="vi-VN"/>
        </w:rPr>
        <w:t>- Mô hình hợp tác xã làm trung tâm (HTX là chủ trì chuỗi liên kết): hợp tác xã tổ chức sản xuất, tập hợp nông dân, liên kết với doanh nghiệp và thị trường;</w:t>
      </w:r>
    </w:p>
    <w:p w14:paraId="13264EAA">
      <w:pPr>
        <w:tabs>
          <w:tab w:val="left" w:pos="-5940"/>
          <w:tab w:val="left" w:pos="0"/>
        </w:tabs>
        <w:spacing w:before="120" w:after="0" w:line="240" w:lineRule="auto"/>
        <w:ind w:right="-18" w:firstLine="540"/>
        <w:jc w:val="both"/>
        <w:rPr>
          <w:rFonts w:hint="default" w:ascii="Times New Roman" w:hAnsi="Times New Roman" w:eastAsia="Times New Roman" w:cs="Times New Roman"/>
          <w:sz w:val="28"/>
          <w:lang w:val="en-US" w:eastAsia="vi-VN"/>
        </w:rPr>
      </w:pPr>
      <w:r>
        <w:rPr>
          <w:rFonts w:hint="default" w:ascii="Times New Roman" w:hAnsi="Times New Roman" w:eastAsia="Times New Roman" w:cs="Times New Roman"/>
          <w:sz w:val="28"/>
          <w:lang w:val="en-US" w:eastAsia="vi-VN"/>
        </w:rPr>
        <w:t>- Mô hình chuỗi mở, đa chủ thể: vận hành theo cơ chế thị trường, có sự tham gia linh hoạt của nhiều tác nhân như thương lái, đại lý thu mua, logistics, phân phối.</w:t>
      </w:r>
    </w:p>
    <w:p w14:paraId="35A6B121">
      <w:pPr>
        <w:tabs>
          <w:tab w:val="left" w:pos="-5940"/>
          <w:tab w:val="left" w:pos="0"/>
        </w:tabs>
        <w:spacing w:before="120" w:after="0" w:line="240" w:lineRule="auto"/>
        <w:ind w:right="-18" w:firstLine="540"/>
        <w:jc w:val="both"/>
        <w:rPr>
          <w:rFonts w:hint="default" w:ascii="Times New Roman" w:hAnsi="Times New Roman" w:eastAsia="Times New Roman" w:cs="Times New Roman"/>
          <w:sz w:val="28"/>
          <w:lang w:val="en-US" w:eastAsia="vi-VN"/>
        </w:rPr>
      </w:pPr>
      <w:r>
        <w:rPr>
          <w:rFonts w:hint="default" w:ascii="Times New Roman" w:hAnsi="Times New Roman" w:eastAsia="Times New Roman" w:cs="Times New Roman"/>
          <w:sz w:val="28"/>
          <w:lang w:val="en-US" w:eastAsia="vi-VN"/>
        </w:rPr>
        <w:t>Việc chuyển đổi từ quy định hình thức liên kết theo các công đoạn sang mô hình tổ chức, điều phối chuỗi giá trị thể hiện rõ tư duy quản trị chuỗi hiện đại, với các đặc điểm: (i) Linh hoạt theo tín hiệu thị trường, không áp đặt mô hình hành chính cứng nhắc; (ii) Phản ánh đúng vai trò và tương tác của các chủ thể trong chuỗi; (iii) Tạo điều kiện cho đa dạng mô hình liên kết phát triển phù hợp với từng ngành hàng, vùng miền; (iv) Nâng cao hiệu quả tổ chức sản xuất, khả năng mở rộng quy mô và tính bền vững của chuỗi giá trị nông nghiệp.</w:t>
      </w:r>
    </w:p>
    <w:p w14:paraId="3A44C3B5">
      <w:pPr>
        <w:tabs>
          <w:tab w:val="left" w:pos="-5940"/>
          <w:tab w:val="left" w:pos="0"/>
        </w:tabs>
        <w:spacing w:before="120" w:after="0" w:line="240" w:lineRule="auto"/>
        <w:ind w:right="-18" w:firstLine="540"/>
        <w:jc w:val="both"/>
        <w:rPr>
          <w:rFonts w:hint="default" w:ascii="Times New Roman" w:hAnsi="Times New Roman" w:eastAsia="Times New Roman" w:cs="Times New Roman"/>
          <w:b/>
          <w:bCs/>
          <w:i/>
          <w:iCs/>
          <w:sz w:val="28"/>
          <w:lang w:val="en-US" w:eastAsia="vi-VN"/>
        </w:rPr>
      </w:pPr>
      <w:r>
        <w:rPr>
          <w:rFonts w:hint="default" w:ascii="Times New Roman" w:hAnsi="Times New Roman" w:eastAsia="Times New Roman" w:cs="Times New Roman"/>
          <w:b/>
          <w:bCs/>
          <w:i/>
          <w:iCs/>
          <w:sz w:val="28"/>
          <w:lang w:val="en-US" w:eastAsia="vi-VN"/>
        </w:rPr>
        <w:t>2.4. Bổ sung khung chính sách về vùng nguyên liệu nông nghiệp, gắn tổ chức liên kết với tiêu chuẩn, truy xuất nguồn gốc và yêu cầu thị trường</w:t>
      </w:r>
    </w:p>
    <w:p w14:paraId="159F49E6">
      <w:pPr>
        <w:tabs>
          <w:tab w:val="left" w:pos="-5940"/>
          <w:tab w:val="left" w:pos="0"/>
        </w:tabs>
        <w:spacing w:before="120" w:after="0" w:line="240" w:lineRule="auto"/>
        <w:ind w:right="-18" w:firstLine="540"/>
        <w:jc w:val="both"/>
        <w:rPr>
          <w:rFonts w:hint="default" w:ascii="Times New Roman" w:hAnsi="Times New Roman" w:eastAsia="Times New Roman" w:cs="Times New Roman"/>
          <w:i/>
          <w:iCs/>
          <w:sz w:val="28"/>
          <w:lang w:val="en-US" w:eastAsia="vi-VN"/>
        </w:rPr>
      </w:pPr>
      <w:r>
        <w:rPr>
          <w:rFonts w:hint="default" w:ascii="Times New Roman" w:hAnsi="Times New Roman" w:eastAsia="Times New Roman" w:cs="Times New Roman"/>
          <w:i/>
          <w:iCs/>
          <w:sz w:val="28"/>
          <w:lang w:val="en-US" w:eastAsia="vi-VN"/>
        </w:rPr>
        <w:t>a) Về bổ sung vùng nguyên liệu nông nghiệp:</w:t>
      </w:r>
    </w:p>
    <w:p w14:paraId="622E768F">
      <w:pPr>
        <w:tabs>
          <w:tab w:val="left" w:pos="-5940"/>
          <w:tab w:val="left" w:pos="0"/>
        </w:tabs>
        <w:spacing w:before="120" w:after="0" w:line="240" w:lineRule="auto"/>
        <w:ind w:right="-18" w:firstLine="540"/>
        <w:jc w:val="both"/>
        <w:rPr>
          <w:rFonts w:hint="default" w:ascii="Times New Roman" w:hAnsi="Times New Roman" w:eastAsia="Times New Roman" w:cs="Times New Roman"/>
          <w:sz w:val="28"/>
          <w:lang w:val="en-US" w:eastAsia="vi-VN"/>
        </w:rPr>
      </w:pPr>
      <w:r>
        <w:rPr>
          <w:rFonts w:hint="default" w:ascii="Times New Roman" w:hAnsi="Times New Roman" w:eastAsia="Times New Roman" w:cs="Times New Roman"/>
          <w:sz w:val="28"/>
          <w:lang w:val="en-US" w:eastAsia="vi-VN"/>
        </w:rPr>
        <w:t>Nghị định số 98/2018/NĐ-CP chưa có quy định riêng về phát triển vùng nguyên liệu, chỉ đề cập gián tiếp trong một số nội dung liên kết sản xuất - tiêu thụ, chưa hình thành một khung chính sách đầy đủ, thống nhất. Đặc biệt, Nghị định chưa quy định tiêu chí xác định vùng nguyên liệu; yêu cầu về tổ chức sản xuất theo vùng; cơ chế phát triển và quản lý vùng nguyên liệu gắn với chuỗi liên kết.</w:t>
      </w:r>
    </w:p>
    <w:p w14:paraId="5E741077">
      <w:pPr>
        <w:tabs>
          <w:tab w:val="left" w:pos="-5940"/>
          <w:tab w:val="left" w:pos="0"/>
        </w:tabs>
        <w:spacing w:before="120" w:after="0" w:line="240" w:lineRule="auto"/>
        <w:ind w:right="-18" w:firstLine="540"/>
        <w:jc w:val="both"/>
        <w:rPr>
          <w:rFonts w:hint="default" w:ascii="Times New Roman" w:hAnsi="Times New Roman" w:eastAsia="Times New Roman" w:cs="Times New Roman"/>
          <w:sz w:val="28"/>
          <w:lang w:val="en-US" w:eastAsia="vi-VN"/>
        </w:rPr>
      </w:pPr>
      <w:r>
        <w:rPr>
          <w:rFonts w:hint="default" w:ascii="Times New Roman" w:hAnsi="Times New Roman" w:eastAsia="Times New Roman" w:cs="Times New Roman"/>
          <w:sz w:val="28"/>
          <w:lang w:val="en-US" w:eastAsia="vi-VN"/>
        </w:rPr>
        <w:t>Trong khi đó, thực tiễn phát triển nông nghiệp cho thấy vùng nguyên liệu là yếu tố nền tảng, quyết định tính ổn định, quy mô và chất lượng của chuỗi giá trị nông sản, đặc biệt trong bối cảnh yêu cầu về tiêu chuẩn và truy xuất nguồn gốc ngày càng cao. Vì thế cần bổ sung một điều riêng, quy định tương đối đầy đủ về vùng nguyên liệu, bao gồm:</w:t>
      </w:r>
    </w:p>
    <w:p w14:paraId="7DEFDCE6">
      <w:pPr>
        <w:tabs>
          <w:tab w:val="left" w:pos="-5940"/>
          <w:tab w:val="left" w:pos="0"/>
        </w:tabs>
        <w:spacing w:before="120" w:after="0" w:line="240" w:lineRule="auto"/>
        <w:ind w:right="-18" w:firstLine="540"/>
        <w:jc w:val="both"/>
        <w:rPr>
          <w:rFonts w:hint="default" w:ascii="Times New Roman" w:hAnsi="Times New Roman" w:eastAsia="Times New Roman" w:cs="Times New Roman"/>
          <w:sz w:val="28"/>
          <w:lang w:val="en-US" w:eastAsia="vi-VN"/>
        </w:rPr>
      </w:pPr>
      <w:r>
        <w:rPr>
          <w:rFonts w:hint="default" w:ascii="Times New Roman" w:hAnsi="Times New Roman" w:eastAsia="Times New Roman" w:cs="Times New Roman"/>
          <w:sz w:val="28"/>
          <w:lang w:val="en-US" w:eastAsia="vi-VN"/>
        </w:rPr>
        <w:t>- Quy định các yêu cầu đối với vùng nguyên liệu: quy mô tập trung, ổn định; tổ chức sản xuất theo quy trình thống nhất; đáp ứng tiêu chuẩn chất lượng, an toàn thực phẩm và truy xuất nguồn gốc; gắn với nhu cầu thị trường và chuỗi liên kết;</w:t>
      </w:r>
    </w:p>
    <w:p w14:paraId="55107B8A">
      <w:pPr>
        <w:tabs>
          <w:tab w:val="left" w:pos="-5940"/>
          <w:tab w:val="left" w:pos="0"/>
        </w:tabs>
        <w:spacing w:before="120" w:after="0" w:line="240" w:lineRule="auto"/>
        <w:ind w:right="-18" w:firstLine="540"/>
        <w:jc w:val="both"/>
        <w:rPr>
          <w:rFonts w:hint="default" w:ascii="Times New Roman" w:hAnsi="Times New Roman" w:eastAsia="Times New Roman" w:cs="Times New Roman"/>
          <w:sz w:val="28"/>
          <w:lang w:val="en-US" w:eastAsia="vi-VN"/>
        </w:rPr>
      </w:pPr>
      <w:r>
        <w:rPr>
          <w:rFonts w:hint="default" w:ascii="Times New Roman" w:hAnsi="Times New Roman" w:eastAsia="Times New Roman" w:cs="Times New Roman"/>
          <w:sz w:val="28"/>
          <w:lang w:val="en-US" w:eastAsia="vi-VN"/>
        </w:rPr>
        <w:t>- Xây dựng hệ thống tiêu chí vùng nguyên liệu (theo các nhóm tiêu chí chủ yếu), bao gồm: Tiêu chí về quy mô, ranh giới và tính tập trung; Tiêu chí về tổ chức sản xuất và liên kết; Tiêu chí về tiêu chuẩn chất lượng và an toàn thực phẩm; Tiêu chí về hạ tầng phục vụ sản xuất, thu hoạch, sơ chế, logistics; Tiêu chí về truy xuất nguồn gốc và quản lý vùng;</w:t>
      </w:r>
    </w:p>
    <w:p w14:paraId="3107AC16">
      <w:pPr>
        <w:tabs>
          <w:tab w:val="left" w:pos="-5940"/>
          <w:tab w:val="left" w:pos="0"/>
        </w:tabs>
        <w:spacing w:before="120" w:after="0" w:line="240" w:lineRule="auto"/>
        <w:ind w:right="-18" w:firstLine="540"/>
        <w:jc w:val="both"/>
        <w:rPr>
          <w:rFonts w:hint="default" w:ascii="Times New Roman" w:hAnsi="Times New Roman" w:eastAsia="Times New Roman" w:cs="Times New Roman"/>
          <w:sz w:val="28"/>
          <w:lang w:val="en-US" w:eastAsia="vi-VN"/>
        </w:rPr>
      </w:pPr>
      <w:r>
        <w:rPr>
          <w:rFonts w:hint="default" w:ascii="Times New Roman" w:hAnsi="Times New Roman" w:eastAsia="Times New Roman" w:cs="Times New Roman"/>
          <w:sz w:val="28"/>
          <w:lang w:val="en-US" w:eastAsia="vi-VN"/>
        </w:rPr>
        <w:t>- Quy định nội dung tổ chức phát triển vùng nguyên liệu, bao gồm: tổ chức lại sản xuất; áp dụng tiêu chuẩn, quy chuẩn kỹ thuật; xây dựng hệ thống quản lý chất lượng nội bộ; cấp và quản lý mã số vùng trồng, vùng nuôi; đầu tư hạ tầng thiết yếu và tổ chức liên kết với doanh nghiệp chế biến, tiêu thụ.</w:t>
      </w:r>
    </w:p>
    <w:p w14:paraId="2BF5B17F">
      <w:pPr>
        <w:tabs>
          <w:tab w:val="left" w:pos="-5940"/>
          <w:tab w:val="left" w:pos="0"/>
        </w:tabs>
        <w:spacing w:before="120" w:after="0" w:line="240" w:lineRule="auto"/>
        <w:ind w:right="-18" w:firstLine="540"/>
        <w:jc w:val="both"/>
        <w:rPr>
          <w:rFonts w:hint="default" w:ascii="Times New Roman" w:hAnsi="Times New Roman" w:eastAsia="Times New Roman" w:cs="Times New Roman"/>
          <w:sz w:val="28"/>
          <w:lang w:val="en-US" w:eastAsia="vi-VN"/>
        </w:rPr>
      </w:pPr>
      <w:r>
        <w:rPr>
          <w:rFonts w:hint="default" w:ascii="Times New Roman" w:hAnsi="Times New Roman" w:eastAsia="Times New Roman" w:cs="Times New Roman"/>
          <w:sz w:val="28"/>
          <w:lang w:val="en-US" w:eastAsia="vi-VN"/>
        </w:rPr>
        <w:t>Việc bổ sung nội dung này là điểm mới mang tính nền tảng, tạo cơ sở để chuyển từ liên kết mang tính rời rạc sang phát triển chuỗi giá trị gắn với vùng sản xuất tập trung, ổn định và đạt chuẩn.</w:t>
      </w:r>
    </w:p>
    <w:p w14:paraId="7FE0D148">
      <w:pPr>
        <w:tabs>
          <w:tab w:val="left" w:pos="-5940"/>
          <w:tab w:val="left" w:pos="0"/>
        </w:tabs>
        <w:spacing w:before="120" w:after="0" w:line="240" w:lineRule="auto"/>
        <w:ind w:right="-18" w:firstLine="540"/>
        <w:jc w:val="both"/>
        <w:rPr>
          <w:rFonts w:hint="default" w:ascii="Times New Roman" w:hAnsi="Times New Roman" w:eastAsia="Times New Roman" w:cs="Times New Roman"/>
          <w:i/>
          <w:iCs/>
          <w:sz w:val="28"/>
          <w:lang w:val="en-US" w:eastAsia="vi-VN"/>
        </w:rPr>
      </w:pPr>
      <w:r>
        <w:rPr>
          <w:rFonts w:hint="default" w:ascii="Times New Roman" w:hAnsi="Times New Roman" w:eastAsia="Times New Roman" w:cs="Times New Roman"/>
          <w:i/>
          <w:iCs/>
          <w:sz w:val="28"/>
          <w:lang w:val="en-US" w:eastAsia="vi-VN"/>
        </w:rPr>
        <w:t xml:space="preserve">b) Gắn tổ chức liên kết với tiêu chuẩn, TXNG và yêu cầu thị trường: </w:t>
      </w:r>
    </w:p>
    <w:p w14:paraId="49CC853A">
      <w:pPr>
        <w:tabs>
          <w:tab w:val="left" w:pos="-5940"/>
          <w:tab w:val="left" w:pos="0"/>
        </w:tabs>
        <w:spacing w:before="120" w:after="0" w:line="240" w:lineRule="auto"/>
        <w:ind w:right="-18" w:firstLine="540"/>
        <w:jc w:val="both"/>
        <w:rPr>
          <w:rFonts w:hint="default" w:ascii="Times New Roman" w:hAnsi="Times New Roman" w:eastAsia="Times New Roman" w:cs="Times New Roman"/>
          <w:sz w:val="28"/>
          <w:lang w:val="en-US" w:eastAsia="vi-VN"/>
        </w:rPr>
      </w:pPr>
      <w:r>
        <w:rPr>
          <w:rFonts w:hint="default" w:ascii="Times New Roman" w:hAnsi="Times New Roman" w:eastAsia="Times New Roman" w:cs="Times New Roman"/>
          <w:sz w:val="28"/>
          <w:lang w:val="en-US" w:eastAsia="vi-VN"/>
        </w:rPr>
        <w:t>Nghị định số 98/2018/NĐ-CP mới chỉ quy định các nội dung liên kết ở mức nguyên tắc, chưa thiết lập đầy đủ các yêu cầu bắt buộc về quản trị chất lượng và thị trường trong chuỗi giá trị. Chưa quy định rõ về tiêu chuẩn chất lượng sản phẩm trong liên kết; chưa có yêu cầu cụ thể về hệ thống truy xuất nguồn gốc; chưa gắn liên kết với kế hoạch sản lượng, nhu cầu thị trường;c chưa có cơ chế điều phối giữa các khâu trong chuỗi. Điều này dẫn đến nhiều liên kết chỉ dừng ở khâu thu mua sản phẩm, thiếu sự kiểm soát đồng bộ về chất lượng và thị trường, làm giảm hiệu quả và tính bền vững của chuỗi.</w:t>
      </w:r>
    </w:p>
    <w:p w14:paraId="7DF10C13">
      <w:pPr>
        <w:tabs>
          <w:tab w:val="left" w:pos="-5940"/>
          <w:tab w:val="left" w:pos="0"/>
        </w:tabs>
        <w:spacing w:before="120" w:after="0" w:line="240" w:lineRule="auto"/>
        <w:ind w:right="-18" w:firstLine="540"/>
        <w:jc w:val="both"/>
        <w:rPr>
          <w:rFonts w:hint="default" w:ascii="Times New Roman" w:hAnsi="Times New Roman" w:eastAsia="Times New Roman" w:cs="Times New Roman"/>
          <w:sz w:val="28"/>
          <w:lang w:val="en-US" w:eastAsia="vi-VN"/>
        </w:rPr>
      </w:pPr>
      <w:r>
        <w:rPr>
          <w:rFonts w:hint="default" w:ascii="Times New Roman" w:hAnsi="Times New Roman" w:eastAsia="Times New Roman" w:cs="Times New Roman"/>
          <w:sz w:val="28"/>
          <w:lang w:val="en-US" w:eastAsia="vi-VN"/>
        </w:rPr>
        <w:t>Để khắc phục các hạn chế nêu trên, Nghị định sửa đổi, bổ sung các yêu cầu gắn kết chặt chẽ giữa liên kết với quản trị chuỗi giá trị như: (i) Yêu cầu áp dụng tiêu chuẩn chất lượng trong tổ chức sản xuất và liên kết, phù hợp với yêu cầu thị trường trong nước và xuất khẩu; (ii) Thiết lập và vận hành hệ thống truy xuất nguồn gốc, bảo đảm minh bạch thông tin và kiểm soát chất lượng trong toàn chuỗi; (iii) Gắn liên kết với kế hoạch sản lượng và nhu cầu thị trường, bảo đảm cân đối cung - cầu, hạn chế tình trạng sản xuất tự phát; (iv) Bổ sung cơ chế điều phối chuỗi, xác định rõ vai trò của chủ thể trung tâm trong việc tổ chức sản xuất, thu mua, chế biến và tiêu thụ sản phẩm.</w:t>
      </w:r>
    </w:p>
    <w:p w14:paraId="58E70CD8">
      <w:pPr>
        <w:tabs>
          <w:tab w:val="left" w:pos="-5940"/>
          <w:tab w:val="left" w:pos="0"/>
        </w:tabs>
        <w:spacing w:before="120" w:after="0" w:line="240" w:lineRule="auto"/>
        <w:ind w:right="-18" w:firstLine="540"/>
        <w:jc w:val="both"/>
        <w:rPr>
          <w:rFonts w:hint="default" w:ascii="Times New Roman" w:hAnsi="Times New Roman" w:eastAsia="Times New Roman" w:cs="Times New Roman"/>
          <w:sz w:val="28"/>
          <w:lang w:val="en-US" w:eastAsia="vi-VN"/>
        </w:rPr>
      </w:pPr>
      <w:r>
        <w:rPr>
          <w:rFonts w:hint="default" w:ascii="Times New Roman" w:hAnsi="Times New Roman" w:eastAsia="Times New Roman" w:cs="Times New Roman"/>
          <w:sz w:val="28"/>
          <w:lang w:val="en-US" w:eastAsia="vi-VN"/>
        </w:rPr>
        <w:t>Những nội dung bổ sung này góp phần chuyển đổi liên kết từ hình thức “mua bán sản phẩm” sang liên kết theo chuỗi giá trị có quản trị, nâng cao tính ổn định, khả năng kiểm soát chất lượng và đáp ứng yêu cầu ngày càng cao của thị trường.</w:t>
      </w:r>
    </w:p>
    <w:p w14:paraId="70A93F7B">
      <w:pPr>
        <w:tabs>
          <w:tab w:val="left" w:pos="-5940"/>
          <w:tab w:val="left" w:pos="0"/>
        </w:tabs>
        <w:spacing w:before="120" w:after="0" w:line="240" w:lineRule="auto"/>
        <w:ind w:right="-18" w:firstLine="540"/>
        <w:jc w:val="both"/>
        <w:rPr>
          <w:rFonts w:hint="default" w:ascii="Times New Roman" w:hAnsi="Times New Roman" w:eastAsia="Times New Roman" w:cs="Times New Roman"/>
          <w:b/>
          <w:bCs/>
          <w:i/>
          <w:iCs/>
          <w:sz w:val="28"/>
          <w:lang w:val="en-US" w:eastAsia="vi-VN"/>
        </w:rPr>
      </w:pPr>
      <w:r>
        <w:rPr>
          <w:rFonts w:hint="default" w:ascii="Times New Roman" w:hAnsi="Times New Roman" w:eastAsia="Times New Roman" w:cs="Times New Roman"/>
          <w:b/>
          <w:bCs/>
          <w:i/>
          <w:iCs/>
          <w:sz w:val="28"/>
          <w:lang w:val="en-US" w:eastAsia="vi-VN"/>
        </w:rPr>
        <w:t>2.5. Hoàn thiện quy định về hợp đồng liên kết theo hướng chuẩn hóa nội dung và tích hợp cơ chế thị trường</w:t>
      </w:r>
    </w:p>
    <w:p w14:paraId="331F3ABA">
      <w:pPr>
        <w:tabs>
          <w:tab w:val="left" w:pos="-5940"/>
          <w:tab w:val="left" w:pos="0"/>
        </w:tabs>
        <w:spacing w:before="120" w:after="0" w:line="240" w:lineRule="auto"/>
        <w:ind w:right="-18" w:firstLine="540"/>
        <w:jc w:val="both"/>
        <w:rPr>
          <w:rFonts w:hint="default" w:ascii="Times New Roman" w:hAnsi="Times New Roman" w:eastAsia="Times New Roman" w:cs="Times New Roman"/>
          <w:sz w:val="28"/>
          <w:lang w:val="en-US" w:eastAsia="vi-VN"/>
        </w:rPr>
      </w:pPr>
      <w:r>
        <w:rPr>
          <w:rFonts w:hint="default" w:ascii="Times New Roman" w:hAnsi="Times New Roman" w:eastAsia="Times New Roman" w:cs="Times New Roman"/>
          <w:sz w:val="28"/>
          <w:lang w:val="en-US" w:eastAsia="vi-VN"/>
        </w:rPr>
        <w:t>Nghị định số 98/2018/NĐ-CP quy định về hợp đồng liên kết tại Điều 5, tuy nhiên nội dung còn mang tính nguyên tắc, chưa quy định cụ thể các yếu tố cốt lõi của hợp đồng liên kết trong chuỗi giá trị. Cụ thể: (i) Chưa quy định đầy đủ các nội dung như: giá và phương thức xác định giá, tiêu chuẩn chất lượng, tổ chức sản xuất, truy xuất nguồn gốc; (ii) Chưa có cơ chế phân chia lợi ích và chia sẻ rủi ro giữa các bên; (iii) Chưa tích hợp các yếu tố quản trị chuỗi giá trị vào hợp đồng; (iv) Thiếu các công cụ điều chỉnh theo cơ chế thị trường khi giá cả biến động. Trong thực tiễn, các hạn chế này dẫn đến hợp đồng liên kết còn mang tính hình thức, thiếu tính ràng buộc; dễ phát sinh tình trạng vi phạm, phá vỡ hợp đồng; liên kết thiếu ổn định, khó duy trì bền vững.</w:t>
      </w:r>
    </w:p>
    <w:p w14:paraId="3F91883E">
      <w:pPr>
        <w:tabs>
          <w:tab w:val="left" w:pos="-5940"/>
          <w:tab w:val="left" w:pos="0"/>
        </w:tabs>
        <w:spacing w:before="120" w:after="0" w:line="240" w:lineRule="auto"/>
        <w:ind w:right="-18" w:firstLine="540"/>
        <w:jc w:val="both"/>
        <w:rPr>
          <w:rFonts w:hint="default" w:ascii="Times New Roman" w:hAnsi="Times New Roman" w:eastAsia="Times New Roman" w:cs="Times New Roman"/>
          <w:sz w:val="28"/>
          <w:lang w:val="en-US" w:eastAsia="vi-VN"/>
        </w:rPr>
      </w:pPr>
      <w:r>
        <w:rPr>
          <w:rFonts w:hint="default" w:ascii="Times New Roman" w:hAnsi="Times New Roman" w:eastAsia="Times New Roman" w:cs="Times New Roman"/>
          <w:sz w:val="28"/>
          <w:lang w:val="en-US" w:eastAsia="vi-VN"/>
        </w:rPr>
        <w:t>Để khắc phục các bất cập nêu trên, Nghị định cần sửa đổi, bổ sung quy định về hợp đồng liên kết theo hướng: (i) Chuẩn hóa nội dung hợp đồng, quy định rõ các nội dung cơ bản, bao gồm: giá và phương thức xác định giá; tiêu chuẩn chất lượng; tổ chức sản xuất; truy xuất nguồn gốc; cơ chế phân chia lợi ích và chia sẻ rủi ro; (ii) Bổ sung các yếu tố thị trường trong hợp đồng, như: cơ chế giá linh hoạt (giá sàn, giá tham chiếu hoặc theo công thức); cơ chế thưởng theo chất lượng, sản lượng; cơ chế bảo hiểm và chia sẻ rủi ro; cơ chế điều chỉnh hợp đồng khi thị trường biến động.</w:t>
      </w:r>
    </w:p>
    <w:p w14:paraId="7AFB614A">
      <w:pPr>
        <w:tabs>
          <w:tab w:val="left" w:pos="-5940"/>
          <w:tab w:val="left" w:pos="0"/>
        </w:tabs>
        <w:spacing w:before="120" w:after="0" w:line="240" w:lineRule="auto"/>
        <w:ind w:right="-18" w:firstLine="540"/>
        <w:jc w:val="both"/>
        <w:rPr>
          <w:rFonts w:hint="default" w:ascii="Times New Roman" w:hAnsi="Times New Roman" w:eastAsia="Times New Roman" w:cs="Times New Roman"/>
          <w:sz w:val="28"/>
          <w:lang w:val="en-US" w:eastAsia="vi-VN"/>
        </w:rPr>
      </w:pPr>
      <w:r>
        <w:rPr>
          <w:rFonts w:hint="default" w:ascii="Times New Roman" w:hAnsi="Times New Roman" w:eastAsia="Times New Roman" w:cs="Times New Roman"/>
          <w:sz w:val="28"/>
          <w:lang w:val="en-US" w:eastAsia="vi-VN"/>
        </w:rPr>
        <w:t>Việc sửa đổi, bổ sung quy định về hợp đồng liên kết theo hướng trên sẽ góp phần nâng cao tính pháp lý, minh bạch và khả năng thực thi của hợp đồng liên kết; tăng cường tính ổn định và bền vững của các mối liên kết; hạn chế tình trạng vi phạm hợp đồng; tiệm cận với thông lệ quốc tế trong tổ chức và vận hành chuỗi giá trị nông nghiệp bền vững.</w:t>
      </w:r>
    </w:p>
    <w:p w14:paraId="4ADA0127">
      <w:pPr>
        <w:tabs>
          <w:tab w:val="left" w:pos="-5940"/>
          <w:tab w:val="left" w:pos="0"/>
        </w:tabs>
        <w:spacing w:before="120" w:after="0" w:line="240" w:lineRule="auto"/>
        <w:ind w:right="-18" w:firstLine="540"/>
        <w:jc w:val="both"/>
        <w:rPr>
          <w:rFonts w:hint="default" w:ascii="Times New Roman" w:hAnsi="Times New Roman" w:eastAsia="Times New Roman" w:cs="Times New Roman"/>
          <w:sz w:val="28"/>
          <w:lang w:val="en-US" w:eastAsia="vi-VN"/>
        </w:rPr>
      </w:pPr>
      <w:r>
        <w:rPr>
          <w:rFonts w:hint="default" w:ascii="Times New Roman" w:hAnsi="Times New Roman" w:eastAsia="Times New Roman" w:cs="Times New Roman"/>
          <w:b/>
          <w:bCs/>
          <w:i/>
          <w:iCs/>
          <w:sz w:val="28"/>
          <w:lang w:val="en-US" w:eastAsia="vi-VN"/>
        </w:rPr>
        <w:t>2.6. Bổ sung cơ chế bảo đảm thực hiện liên kết chuỗi giá trị</w:t>
      </w:r>
    </w:p>
    <w:p w14:paraId="7BA6BA64">
      <w:pPr>
        <w:tabs>
          <w:tab w:val="left" w:pos="-5940"/>
          <w:tab w:val="left" w:pos="0"/>
        </w:tabs>
        <w:spacing w:before="120" w:after="0" w:line="240" w:lineRule="auto"/>
        <w:ind w:right="-18" w:firstLine="540"/>
        <w:jc w:val="both"/>
        <w:rPr>
          <w:rFonts w:hint="default" w:ascii="Times New Roman" w:hAnsi="Times New Roman" w:eastAsia="Times New Roman" w:cs="Times New Roman"/>
          <w:sz w:val="28"/>
          <w:lang w:val="en-US" w:eastAsia="vi-VN"/>
        </w:rPr>
      </w:pPr>
      <w:r>
        <w:rPr>
          <w:rFonts w:hint="default" w:ascii="Times New Roman" w:hAnsi="Times New Roman" w:eastAsia="Times New Roman" w:cs="Times New Roman"/>
          <w:sz w:val="28"/>
          <w:lang w:val="en-US" w:eastAsia="vi-VN"/>
        </w:rPr>
        <w:t>Nghị định số 98/2018/NĐ-CP chưa quy định đầy đủ các cơ chế bảo đảm thực hiện liên kết. Các quy định hiện hành chủ yếu dừng ở việc khuyến khích ký kết hợp đồng và hỗ trợ liên kết, chưa thiết lập các công cụ pháp lý và kinh tế để bảo đảm các bên thực hiện cam kết. Cụ thể: (i) Chưa có quy định về các biện pháp bảo đảm thực hiện hợp đồng như đặt cọc, ký quỹ, bảo lãnh hoặc các hình thức bảo đảm khác; (ii) Chưa có cơ chế chia sẻ rủi ro giữa các bên trong trường hợp xảy ra biến động về thị trường, thiên tai, dịch bệnh; (iii) Chưa gắn kết chính sách liên kết với bảo hiểm nông nghiệp và các công cụ quản trị rủi ro; (iv) Chưa có quy định về cơ chế điều chỉnh hợp đồng khi giá cả thị trường hoặc điều kiện sản xuất thay đổi.</w:t>
      </w:r>
    </w:p>
    <w:p w14:paraId="4D73F09B">
      <w:pPr>
        <w:tabs>
          <w:tab w:val="left" w:pos="-5940"/>
          <w:tab w:val="left" w:pos="0"/>
        </w:tabs>
        <w:spacing w:before="120" w:after="0" w:line="240" w:lineRule="auto"/>
        <w:ind w:right="-18" w:firstLine="540"/>
        <w:jc w:val="both"/>
        <w:rPr>
          <w:rFonts w:hint="default" w:ascii="Times New Roman" w:hAnsi="Times New Roman" w:eastAsia="Times New Roman" w:cs="Times New Roman"/>
          <w:sz w:val="28"/>
          <w:lang w:val="en-US" w:eastAsia="vi-VN"/>
        </w:rPr>
      </w:pPr>
      <w:r>
        <w:rPr>
          <w:rFonts w:hint="default" w:ascii="Times New Roman" w:hAnsi="Times New Roman" w:eastAsia="Times New Roman" w:cs="Times New Roman"/>
          <w:sz w:val="28"/>
          <w:lang w:val="en-US" w:eastAsia="vi-VN"/>
        </w:rPr>
        <w:t>Trong thực tiễn, những hạn chế này dẫn đến tình trạng vi phạm, phá vỡ hợp đồng (“bẻ kèo”) diễn ra khá phổ biến; rủi ro chủ yếu dồn về phía người sản xuất hoặc một bên trong chuỗi; thiếu niềm tin giữa các chủ thể, làm giảm tính ổn định và bền vững của liên kết.</w:t>
      </w:r>
    </w:p>
    <w:p w14:paraId="7F19EE93">
      <w:pPr>
        <w:tabs>
          <w:tab w:val="left" w:pos="-5940"/>
          <w:tab w:val="left" w:pos="0"/>
        </w:tabs>
        <w:spacing w:before="120" w:after="0" w:line="240" w:lineRule="auto"/>
        <w:ind w:right="-18" w:firstLine="540"/>
        <w:jc w:val="both"/>
        <w:rPr>
          <w:rFonts w:hint="default" w:ascii="Times New Roman" w:hAnsi="Times New Roman" w:eastAsia="Times New Roman" w:cs="Times New Roman"/>
          <w:sz w:val="28"/>
          <w:lang w:val="en-US" w:eastAsia="vi-VN"/>
        </w:rPr>
      </w:pPr>
      <w:r>
        <w:rPr>
          <w:rFonts w:hint="default" w:ascii="Times New Roman" w:hAnsi="Times New Roman" w:eastAsia="Times New Roman" w:cs="Times New Roman"/>
          <w:sz w:val="28"/>
          <w:lang w:val="en-US" w:eastAsia="vi-VN"/>
        </w:rPr>
        <w:t>Để khắc phục các bất cập nêu trên, Nghị định cần bổ sung một điều riêng về cơ chế bảo đảm thực hiện liên kết, với các nội dung chủ yếu như: (i) Bổ sung các biện pháp bảo đảm thực hiện liên kết, như: đặt cọc, ký quỹ, bảo lãnh hoặc các hình thức bảo đảm hợp pháp khác, nhằm tăng tính ràng buộc và trách nhiệm của các bên trong thực hiện hợp đồng; (ii) Quy định cơ chế chia sẻ rủi ro trong chuỗi liên kết, bao gồm rủi ro về thị trường, sản xuất (thiên tai, dịch bệnh) và chất lượng sản phẩm, trên cơ sở thỏa thuận giữa các bên; (iii) Khuyến khích áp dụng bảo hiểm nông nghiệp và các công cụ quản trị rủi ro, góp phần giảm thiểu thiệt hại và nâng cao khả năng chống chịu của chuỗi giá trị; (iv) Bổ sung cơ chế điều chỉnh hợp đồng khi có biến động, đặc biệt là biến động giá cả thị trường hoặc điều kiện sản xuất, nhằm bảo đảm hài hòa lợi ích và duy trì liên kết ổn định.</w:t>
      </w:r>
    </w:p>
    <w:p w14:paraId="44C907EA">
      <w:pPr>
        <w:tabs>
          <w:tab w:val="left" w:pos="-5940"/>
          <w:tab w:val="left" w:pos="0"/>
        </w:tabs>
        <w:spacing w:before="120" w:after="0" w:line="240" w:lineRule="auto"/>
        <w:ind w:right="-18" w:firstLine="540"/>
        <w:jc w:val="both"/>
        <w:rPr>
          <w:rFonts w:hint="default" w:ascii="Times New Roman" w:hAnsi="Times New Roman" w:eastAsia="Times New Roman" w:cs="Times New Roman"/>
          <w:sz w:val="28"/>
          <w:lang w:val="en-US" w:eastAsia="vi-VN"/>
        </w:rPr>
      </w:pPr>
      <w:r>
        <w:rPr>
          <w:rFonts w:hint="default" w:ascii="Times New Roman" w:hAnsi="Times New Roman" w:eastAsia="Times New Roman" w:cs="Times New Roman"/>
          <w:sz w:val="28"/>
          <w:lang w:val="en-US" w:eastAsia="vi-VN"/>
        </w:rPr>
        <w:t>Việc bổ sung cơ chế bảo đảm thực hiện liên kết là điểm mới quan trọng và mang tính đột phá, góp phần tăng cường tính ràng buộc pháp lý và trách nhiệm của các bên tham gia liên kết; hạn chế tình trạng vi phạm, phá vỡ hợp đồng; nâng cao mức độ tin cậy và ổn định của chuỗi giá trị; tạo nền tảng để phát triển các liên kết bền vững, phù hợp với cơ chế thị trường và thông lệ quốc tế.</w:t>
      </w:r>
    </w:p>
    <w:p w14:paraId="21A6A7CF">
      <w:pPr>
        <w:tabs>
          <w:tab w:val="left" w:pos="-5940"/>
          <w:tab w:val="left" w:pos="0"/>
        </w:tabs>
        <w:spacing w:before="120" w:after="0" w:line="240" w:lineRule="auto"/>
        <w:ind w:right="-18" w:firstLine="540"/>
        <w:jc w:val="both"/>
        <w:rPr>
          <w:rFonts w:hint="default" w:ascii="Times New Roman" w:hAnsi="Times New Roman" w:eastAsia="Times New Roman" w:cs="Times New Roman"/>
          <w:sz w:val="28"/>
          <w:lang w:val="en-US" w:eastAsia="vi-VN"/>
        </w:rPr>
      </w:pPr>
      <w:r>
        <w:rPr>
          <w:rFonts w:hint="default" w:ascii="Times New Roman" w:hAnsi="Times New Roman" w:eastAsia="Times New Roman" w:cs="Times New Roman"/>
          <w:b/>
          <w:bCs/>
          <w:i/>
          <w:iCs/>
          <w:sz w:val="28"/>
          <w:lang w:val="en-US" w:eastAsia="vi-VN"/>
        </w:rPr>
        <w:t>2.7. Đổi mới công cụ quản lý liên kết theo hướng chuyển từ “Dự án liên kết” sang “Kế hoạch liên kết” gắn với đơn giản hóa thủ tục hành chính</w:t>
      </w:r>
    </w:p>
    <w:p w14:paraId="58521048">
      <w:pPr>
        <w:tabs>
          <w:tab w:val="left" w:pos="-5940"/>
          <w:tab w:val="left" w:pos="0"/>
        </w:tabs>
        <w:spacing w:before="120" w:after="0" w:line="240" w:lineRule="auto"/>
        <w:ind w:right="-18" w:firstLine="540"/>
        <w:jc w:val="both"/>
        <w:rPr>
          <w:rFonts w:hint="default" w:ascii="Times New Roman" w:hAnsi="Times New Roman" w:eastAsia="Times New Roman" w:cs="Times New Roman"/>
          <w:sz w:val="28"/>
          <w:lang w:val="en-US" w:eastAsia="vi-VN"/>
        </w:rPr>
      </w:pPr>
      <w:r>
        <w:rPr>
          <w:rFonts w:hint="default" w:ascii="Times New Roman" w:hAnsi="Times New Roman" w:eastAsia="Times New Roman" w:cs="Times New Roman"/>
          <w:sz w:val="28"/>
          <w:lang w:val="en-US" w:eastAsia="vi-VN"/>
        </w:rPr>
        <w:t xml:space="preserve">Theo quy định tại Điều 6 Nghị định số 98/2018/NĐ-CP, liên kết sản xuất, tiêu thụ nông sản được tổ chức và hỗ trợ chủ yếu thông qua </w:t>
      </w:r>
      <w:r>
        <w:rPr>
          <w:rFonts w:hint="default" w:ascii="Times New Roman" w:hAnsi="Times New Roman" w:eastAsia="Times New Roman" w:cs="Times New Roman"/>
          <w:i/>
          <w:iCs/>
          <w:sz w:val="28"/>
          <w:lang w:val="en-US" w:eastAsia="vi-VN"/>
        </w:rPr>
        <w:t>“Dự án liên kết”</w:t>
      </w:r>
      <w:r>
        <w:rPr>
          <w:rFonts w:hint="default" w:ascii="Times New Roman" w:hAnsi="Times New Roman" w:eastAsia="Times New Roman" w:cs="Times New Roman"/>
          <w:sz w:val="28"/>
          <w:lang w:val="en-US" w:eastAsia="vi-VN"/>
        </w:rPr>
        <w:t>. Cách tiếp cận này phù hợp với các mô hình liên kết có quy mô lớn, có nhu cầu đầu tư hạ tầng và nguồn lực đáng kể, tuy nhiên trong thực tiễn đã bộc lộ một số hạn chế, đó là: (i) Công cụ “Dự án liên kết” mang tính chất đầu tư, yêu cầu hồ sơ, thủ tục tương đối phức tạp, chưa phù hợp với các hình thức liên kết linh hoạt theo vụ, theo đơn hàng hoặc quy mô nhỏ; (ii) Nhiều hợp tác xã, tổ hợp tác và doanh nghiệp nhỏ khó tiếp cận chính sách do không đủ điều kiện hoặc không có nhu cầu lập dự án; (iii) Thủ tục hành chính còn phức tạp, thời gian xử lý kéo dài, làm giảm hiệu quả triển khai chính sách.</w:t>
      </w:r>
    </w:p>
    <w:p w14:paraId="04E6643A">
      <w:pPr>
        <w:tabs>
          <w:tab w:val="left" w:pos="-5940"/>
          <w:tab w:val="left" w:pos="0"/>
        </w:tabs>
        <w:spacing w:before="120" w:after="0" w:line="240" w:lineRule="auto"/>
        <w:ind w:right="-18" w:firstLine="540"/>
        <w:jc w:val="both"/>
        <w:rPr>
          <w:rFonts w:hint="default" w:ascii="Times New Roman" w:hAnsi="Times New Roman" w:eastAsia="Times New Roman" w:cs="Times New Roman"/>
          <w:sz w:val="28"/>
          <w:lang w:val="en-US" w:eastAsia="vi-VN"/>
        </w:rPr>
      </w:pPr>
      <w:r>
        <w:rPr>
          <w:rFonts w:hint="default" w:ascii="Times New Roman" w:hAnsi="Times New Roman" w:eastAsia="Times New Roman" w:cs="Times New Roman"/>
          <w:sz w:val="28"/>
          <w:lang w:val="en-US" w:eastAsia="vi-VN"/>
        </w:rPr>
        <w:t>Để khắc phục các hạn chế nêu trên, cần đổi mới công cụ quản lý liên kết theo hướng chuyển từ “Dự án liên kết” sang bổ sung “Kế hoạch liên kết”, phù hợp với đặc thù sản xuất nông nghiệp và cơ chế thị trường. Kế hoạch liên kết được xác định là công cụ tổ chức liên kết linh hoạt, áp dụng đối với các mô hình liên kết không có hoặc không cần đầu tư hạ tầng; liên kết quy mô nhỏ, trung bình; liên kết theo vụ, theo đơn hàng hoặc giai đoạn sản xuất;</w:t>
      </w:r>
    </w:p>
    <w:p w14:paraId="61EDB01C">
      <w:pPr>
        <w:tabs>
          <w:tab w:val="left" w:pos="-5940"/>
          <w:tab w:val="left" w:pos="0"/>
        </w:tabs>
        <w:spacing w:before="120" w:after="0" w:line="240" w:lineRule="auto"/>
        <w:ind w:right="-18" w:firstLine="540"/>
        <w:jc w:val="both"/>
        <w:rPr>
          <w:rFonts w:hint="default" w:ascii="Times New Roman" w:hAnsi="Times New Roman" w:eastAsia="Times New Roman" w:cs="Times New Roman"/>
          <w:sz w:val="28"/>
          <w:lang w:val="en-US" w:eastAsia="vi-VN"/>
        </w:rPr>
      </w:pPr>
      <w:r>
        <w:rPr>
          <w:rFonts w:hint="default" w:ascii="Times New Roman" w:hAnsi="Times New Roman" w:eastAsia="Times New Roman" w:cs="Times New Roman"/>
          <w:sz w:val="28"/>
          <w:lang w:val="en-US" w:eastAsia="vi-VN"/>
        </w:rPr>
        <w:t>Song song với việc đổi mới công cụ quản lý là các kế hoạch liên kết, cần đơn giản hóa thủ tục hành chính, cụ thể: (i) Rút gọn thành phần hồ sơ và rút ngắn thời gian xử lý, tạo điều kiện thuận lợi cho các chủ thể tham gia liên kết; (ii) Áp dụng cơ chế một cửa trong tiếp nhận và giải quyết hồ sơ; (iii) Quy định nguyên tắc không yêu cầu bổ sung hồ sơ quá một lần, hạn chế phát sinh thủ tục; (iv) Khuyến khích thực hiện thủ tục hình thức online, tăng tính minh bạch và giảm chi phí tuân thủ.</w:t>
      </w:r>
    </w:p>
    <w:p w14:paraId="0D797557">
      <w:pPr>
        <w:tabs>
          <w:tab w:val="left" w:pos="-5940"/>
          <w:tab w:val="left" w:pos="0"/>
        </w:tabs>
        <w:spacing w:before="120" w:after="0" w:line="240" w:lineRule="auto"/>
        <w:ind w:right="-18" w:firstLine="540"/>
        <w:jc w:val="both"/>
        <w:rPr>
          <w:rFonts w:hint="default" w:ascii="Times New Roman" w:hAnsi="Times New Roman" w:eastAsia="Times New Roman" w:cs="Times New Roman"/>
          <w:sz w:val="28"/>
          <w:lang w:val="en-US" w:eastAsia="vi-VN"/>
        </w:rPr>
      </w:pPr>
      <w:r>
        <w:rPr>
          <w:rFonts w:hint="default" w:ascii="Times New Roman" w:hAnsi="Times New Roman" w:eastAsia="Times New Roman" w:cs="Times New Roman"/>
          <w:sz w:val="28"/>
          <w:lang w:val="en-US" w:eastAsia="vi-VN"/>
        </w:rPr>
        <w:t>Việc đổi mới công cụ quản lý từ “Dự án liên kết” sang “Kế hoạch liên kết” gắn với cải cách thủ tục hành chính là nội dung có ý nghĩa quan trọng, góp phần mở rộng khả năng tiếp cận chính sách đối với các chủ thể, đặc biệt là hợp tác xã và doanh nghiệp nhỏ; tăng tính linh hoạt, phù hợp với đặc thù sản xuất nông nghiệp và biến động của thị trường; giảm chi phí và thời gian thực hiện thủ tục hành chính; nâng cao hiệu quả tổ chức và phát triển các chuỗi liên kết trong thực tiễn.</w:t>
      </w:r>
    </w:p>
    <w:p w14:paraId="1F2B20CB">
      <w:pPr>
        <w:tabs>
          <w:tab w:val="left" w:pos="-5940"/>
          <w:tab w:val="left" w:pos="0"/>
        </w:tabs>
        <w:spacing w:before="120" w:after="0" w:line="240" w:lineRule="auto"/>
        <w:ind w:right="-18" w:firstLine="540"/>
        <w:jc w:val="both"/>
        <w:rPr>
          <w:rFonts w:hint="default" w:ascii="Times New Roman" w:hAnsi="Times New Roman" w:eastAsia="Times New Roman" w:cs="Times New Roman"/>
          <w:sz w:val="28"/>
          <w:lang w:val="en-US" w:eastAsia="vi-VN"/>
        </w:rPr>
      </w:pPr>
      <w:r>
        <w:rPr>
          <w:rFonts w:hint="default" w:ascii="Times New Roman" w:hAnsi="Times New Roman" w:eastAsia="Times New Roman" w:cs="Times New Roman"/>
          <w:b/>
          <w:bCs/>
          <w:i/>
          <w:iCs/>
          <w:sz w:val="28"/>
          <w:lang w:val="en-US" w:eastAsia="vi-VN"/>
        </w:rPr>
        <w:t>2.8. Sửa đổi, bổ sung toàn diện chính sách hỗ trợ phát triển liên kết chuỗi giá trị nông nghiệp bền vững, gắn với phát triển vùng nguyên liệu</w:t>
      </w:r>
    </w:p>
    <w:p w14:paraId="4ADFAC54">
      <w:pPr>
        <w:tabs>
          <w:tab w:val="left" w:pos="-5940"/>
          <w:tab w:val="left" w:pos="0"/>
        </w:tabs>
        <w:spacing w:before="120" w:after="0" w:line="240" w:lineRule="auto"/>
        <w:ind w:right="-18" w:firstLine="540"/>
        <w:jc w:val="both"/>
        <w:rPr>
          <w:rFonts w:hint="default" w:ascii="Times New Roman" w:hAnsi="Times New Roman" w:eastAsia="Times New Roman" w:cs="Times New Roman"/>
          <w:sz w:val="28"/>
          <w:lang w:val="en-US" w:eastAsia="vi-VN"/>
        </w:rPr>
      </w:pPr>
      <w:r>
        <w:rPr>
          <w:rFonts w:hint="default" w:ascii="Times New Roman" w:hAnsi="Times New Roman" w:eastAsia="Times New Roman" w:cs="Times New Roman"/>
          <w:sz w:val="28"/>
          <w:lang w:val="en-US" w:eastAsia="vi-VN"/>
        </w:rPr>
        <w:t>Các chính sách hỗ trợ quy định tại Nghị định số 98/2018/NĐ-CP (từ Điều 7 đến Điều 10) chủ yếu tập trung vào một số nội dung như: tư vấn xây dựng liên kết, hỗ trợ hạ tầng, khuyến nông, đào tạo, hỗ trợ giống và vật tư. Tuy nhiên, phạm vi và cách thức hỗ trợ còn bộc lộ một số hạn chế, đó là: (i) Phạm vi hỗ trợ còn hẹp, chưa bao quát đầy đủ các khâu của chuỗi giá trị (đặc biệt là vùng nguyên liệu, logistics, thị trường, chuyển đổi số); (ii) Thiếu các chính sách mới đáp ứng yêu cầu phát triển nông nghiệp hiện đại như chuyển đổi xanh, giảm phát thải, truy xuất nguồn gốc, dữ liệu số; (iii) Thiếu tính liên thông, lồng ghép với các chính sách liên quan (Luật Hợp tác xã năm 2023, Nghị định số 113/2024/NĐ-CP, các chương trình mục tiêu quốc gia…); (iv) Cách thức hỗ trợ còn mang tính dàn trải, chưa gắn chặt với hiệu quả và kết quả của chuỗi liên kết.</w:t>
      </w:r>
    </w:p>
    <w:p w14:paraId="6884C1A5">
      <w:pPr>
        <w:tabs>
          <w:tab w:val="left" w:pos="-5940"/>
          <w:tab w:val="left" w:pos="0"/>
        </w:tabs>
        <w:spacing w:before="120" w:after="0" w:line="240" w:lineRule="auto"/>
        <w:ind w:right="-18" w:firstLine="540"/>
        <w:jc w:val="both"/>
        <w:rPr>
          <w:rFonts w:hint="default" w:ascii="Times New Roman" w:hAnsi="Times New Roman" w:eastAsia="Times New Roman" w:cs="Times New Roman"/>
          <w:sz w:val="28"/>
          <w:lang w:val="en-US" w:eastAsia="vi-VN"/>
        </w:rPr>
      </w:pPr>
      <w:r>
        <w:rPr>
          <w:rFonts w:hint="default" w:ascii="Times New Roman" w:hAnsi="Times New Roman" w:eastAsia="Times New Roman" w:cs="Times New Roman"/>
          <w:sz w:val="28"/>
          <w:lang w:val="en-US" w:eastAsia="vi-VN"/>
        </w:rPr>
        <w:t>Vì vậy, cần sửa đổi toàn diện chính sách hỗ trợ theo các nguyên tắc chủ đạo sau đây: (i) Chuyển từ hỗ trợ đơn lẻ sang hỗ trợ theo chuỗi giá trị, gắn với toàn bộ quá trình từ sản xuất đến tiêu thụ; (ii) Lấy hiệu quả, kết quả đầu ra làm căn cứ hỗ trợ, tăng cường cơ chế hậu kiểm; (iii) Ưu tiên phát triển vùng nguyên liệu, chủ thể trung tâm và các chuỗi quy mô lớn, bền vững; (iv) Bảo đảm lồng ghép, đồng bộ với các chính sách hiện hành, đặc biệt là chính sách phát triển hợp tác xã và các chương trình mục tiêu quốc gia; (v) Tăng cường phân cấp cho địa phương, đồng thời nâng cao trách nhiệm trong tổ chức thực hiện và giám sát.</w:t>
      </w:r>
    </w:p>
    <w:p w14:paraId="7B5D4861">
      <w:pPr>
        <w:tabs>
          <w:tab w:val="left" w:pos="-5940"/>
          <w:tab w:val="left" w:pos="0"/>
        </w:tabs>
        <w:spacing w:before="120" w:after="0" w:line="240" w:lineRule="auto"/>
        <w:ind w:right="-18" w:firstLine="540"/>
        <w:jc w:val="both"/>
        <w:rPr>
          <w:rFonts w:hint="default" w:ascii="Times New Roman" w:hAnsi="Times New Roman" w:eastAsia="Times New Roman" w:cs="Times New Roman"/>
          <w:sz w:val="28"/>
          <w:lang w:val="en-US" w:eastAsia="vi-VN"/>
        </w:rPr>
      </w:pPr>
      <w:r>
        <w:rPr>
          <w:rFonts w:hint="default" w:ascii="Times New Roman" w:hAnsi="Times New Roman" w:eastAsia="Times New Roman" w:cs="Times New Roman"/>
          <w:sz w:val="28"/>
          <w:lang w:val="en-US" w:eastAsia="vi-VN"/>
        </w:rPr>
        <w:t>Theo đó, hệ thống chính sách được cơ cấu lại thành 05 nhóm, gồm: (i) Hỗ trợ tư vấn và tổ chức liên kết; (ii) Hỗ trợ phát triển vùng nguyên liệu và tổ chức sản xuất; (iii) Hỗ trợ hạ tầng phục vụ chuỗi giá trị; (iv) Hỗ trợ nâng cao năng lực và phát triển thị trường; (v) Hỗ trợ chuyển đổi số, chuyển đổi xanh và quản trị chuỗi.</w:t>
      </w:r>
    </w:p>
    <w:p w14:paraId="677BCB26">
      <w:pPr>
        <w:tabs>
          <w:tab w:val="left" w:pos="-5940"/>
          <w:tab w:val="left" w:pos="0"/>
        </w:tabs>
        <w:spacing w:before="120" w:after="0" w:line="240" w:lineRule="auto"/>
        <w:ind w:right="-18" w:firstLine="540"/>
        <w:jc w:val="both"/>
        <w:rPr>
          <w:rFonts w:hint="default" w:ascii="Times New Roman" w:hAnsi="Times New Roman" w:eastAsia="Times New Roman" w:cs="Times New Roman"/>
          <w:sz w:val="28"/>
          <w:lang w:val="en-US" w:eastAsia="vi-VN"/>
        </w:rPr>
      </w:pPr>
      <w:r>
        <w:rPr>
          <w:rFonts w:hint="default" w:ascii="Times New Roman" w:hAnsi="Times New Roman" w:eastAsia="Times New Roman" w:cs="Times New Roman"/>
          <w:sz w:val="28"/>
          <w:lang w:val="en-US" w:eastAsia="vi-VN"/>
        </w:rPr>
        <w:t>Bên cạnh việc mở rộng các nội dung hỗ trợ, Nghị định mới cần bổ sung một số chính sách mới mang tính đột phá như: chính sách phát triển vùng nguyên liệu đạt chuẩn gắn với chuỗi liên kết; chính sách hỗ trợ chuyển đổi số và xây dựng dữ liệu chuỗi giá trị; chính sách hỗ trợ chuyển đổi xanh, giảm phát thải, thích ứng biến đổi khí hậu; cơ chế lồng ghép, huy động đa nguồn lực (ngân sách nhà nước, đầu tư công, chương trình mục tiêu quốc gia, nguồn xã hội hóa); cơ chế ưu tiên tiếp cận tín dụng, bảo hiểm và các chính sách liên quan đối với các chuỗi liên kết.</w:t>
      </w:r>
    </w:p>
    <w:p w14:paraId="691BC488">
      <w:pPr>
        <w:tabs>
          <w:tab w:val="left" w:pos="-5940"/>
          <w:tab w:val="left" w:pos="0"/>
        </w:tabs>
        <w:spacing w:before="120" w:after="0" w:line="240" w:lineRule="auto"/>
        <w:ind w:right="-18" w:firstLine="540"/>
        <w:jc w:val="both"/>
        <w:rPr>
          <w:rFonts w:hint="default" w:ascii="Times New Roman" w:hAnsi="Times New Roman" w:eastAsia="Times New Roman" w:cs="Times New Roman"/>
          <w:sz w:val="28"/>
          <w:lang w:val="en-US" w:eastAsia="vi-VN"/>
        </w:rPr>
      </w:pPr>
      <w:r>
        <w:rPr>
          <w:rFonts w:hint="default" w:ascii="Times New Roman" w:hAnsi="Times New Roman" w:eastAsia="Times New Roman" w:cs="Times New Roman"/>
          <w:sz w:val="28"/>
          <w:lang w:val="en-US" w:eastAsia="vi-VN"/>
        </w:rPr>
        <w:t>Việc sửa đổi toàn diện chính sách hỗ trợ theo hướng trên giúp khắc phục các hạn chế của chính sách hiện hành; mở rộng phạm vi và nâng cao hiệu quả hỗ trợ; bảo đảm tính đồng bộ, liên thông với hệ thống chính sách phát triển nông nghiệp và hợp tác xã; tạo nền tảng để phát triển các chuỗi giá trị nông nghiệp bền vững, quy mô lớn và có khả năng cạnh tranh cao.</w:t>
      </w:r>
    </w:p>
    <w:p w14:paraId="2F44C910">
      <w:pPr>
        <w:tabs>
          <w:tab w:val="left" w:pos="-5940"/>
          <w:tab w:val="left" w:pos="0"/>
        </w:tabs>
        <w:spacing w:before="120" w:after="0" w:line="240" w:lineRule="auto"/>
        <w:ind w:right="-18" w:firstLine="540"/>
        <w:jc w:val="both"/>
        <w:rPr>
          <w:rFonts w:hint="default" w:ascii="Times New Roman" w:hAnsi="Times New Roman" w:eastAsia="Times New Roman" w:cs="Times New Roman"/>
          <w:sz w:val="28"/>
          <w:lang w:val="en-US" w:eastAsia="vi-VN"/>
        </w:rPr>
      </w:pPr>
      <w:r>
        <w:rPr>
          <w:rFonts w:hint="default" w:ascii="Times New Roman" w:hAnsi="Times New Roman" w:eastAsia="Times New Roman" w:cs="Times New Roman"/>
          <w:b/>
          <w:bCs/>
          <w:i/>
          <w:iCs/>
          <w:sz w:val="28"/>
          <w:lang w:val="en-US" w:eastAsia="vi-VN"/>
        </w:rPr>
        <w:t>2.9. Bổ sung, hoàn thiện quy định về quản lý nhà nước và hệ thống dữ liệu phục vụ phát triển chuỗi giá trị</w:t>
      </w:r>
    </w:p>
    <w:p w14:paraId="38FD7B21">
      <w:pPr>
        <w:tabs>
          <w:tab w:val="left" w:pos="-5940"/>
          <w:tab w:val="left" w:pos="0"/>
        </w:tabs>
        <w:spacing w:before="120" w:after="0" w:line="240" w:lineRule="auto"/>
        <w:ind w:right="-18" w:firstLine="540"/>
        <w:jc w:val="both"/>
        <w:rPr>
          <w:rFonts w:hint="default" w:ascii="Times New Roman" w:hAnsi="Times New Roman" w:eastAsia="Times New Roman" w:cs="Times New Roman"/>
          <w:sz w:val="28"/>
          <w:lang w:val="en-US" w:eastAsia="vi-VN"/>
        </w:rPr>
      </w:pPr>
      <w:r>
        <w:rPr>
          <w:rFonts w:hint="default" w:ascii="Times New Roman" w:hAnsi="Times New Roman" w:eastAsia="Times New Roman" w:cs="Times New Roman"/>
          <w:sz w:val="28"/>
          <w:lang w:val="en-US" w:eastAsia="vi-VN"/>
        </w:rPr>
        <w:t>Nghị định số 98/2018/NĐ-CP chưa quy định đầy đủ về vai trò quản lý nhà nước theo hướng điều phối chuỗi giá trị, đặc biệt là thiếu nội dung về xây dựng và quản lý hệ thống dữ liệu phục vụ tổ chức, giám sát và phát triển liên kết. Cụ thể là: (i) Chưa có quy định về xây dựng cơ sở dữ liệu quốc gia về liên kết và chuỗi giá trị nông nghiệp; (ii) Thiếu công cụ để theo dõi, đánh giá và giám sát liên kết trên phạm vi toàn quốc; (iii) Vai trò của Bộ, ngành chủ yếu dừng ở ban hành chính sách, chưa gắn với chức năng điều phối, hướng dẫn và chuẩn hóa hệ thống.</w:t>
      </w:r>
    </w:p>
    <w:p w14:paraId="59F7F29A">
      <w:pPr>
        <w:tabs>
          <w:tab w:val="left" w:pos="-5940"/>
          <w:tab w:val="left" w:pos="0"/>
        </w:tabs>
        <w:spacing w:before="120" w:after="0" w:line="240" w:lineRule="auto"/>
        <w:ind w:right="-18" w:firstLine="540"/>
        <w:jc w:val="both"/>
        <w:rPr>
          <w:rFonts w:hint="default" w:ascii="Times New Roman" w:hAnsi="Times New Roman" w:eastAsia="Times New Roman" w:cs="Times New Roman"/>
          <w:sz w:val="28"/>
          <w:lang w:val="en-US" w:eastAsia="vi-VN"/>
        </w:rPr>
      </w:pPr>
      <w:r>
        <w:rPr>
          <w:rFonts w:hint="default" w:ascii="Times New Roman" w:hAnsi="Times New Roman" w:eastAsia="Times New Roman" w:cs="Times New Roman"/>
          <w:sz w:val="28"/>
          <w:lang w:val="en-US" w:eastAsia="vi-VN"/>
        </w:rPr>
        <w:t>Do đó Nghị định sửa đổi cần bổ sung, hoàn thiện quy định về quản lý nhà nước theo hướng: (i) Nâng cao vai trò của Bộ, ngành trung ương trong việc chủ trì xây dựng, ban hành tiêu chí vùng nguyên liệu nông sản và các tiêu chuẩn liên quan; xây dựng và vận hành hệ thống dữ liệu quốc gia về chuỗi giá trị nông nghiệp, phục vụ quản lý, điều hành và kết nối thị trường; tổ chức xây dựng mô hình liên kết mẫu, tổng kết, nhân rộng; thực hiện giám sát, đánh giá tổng thể trên phạm vi toàn quốc, bảo đảm tính thống nhất và hiệu quả của chính sách; (ii) Tăng cường phân cấp cho địa phương theo hướng giao Ủy ban nhân dân cấp tỉnh phê duyệt kế hoạch liên kết; chủ động ban hành tiêu chí cụ thể về vùng nguyên liệu phù hợp với điều kiện thực tế; quy định mức hỗ trợ, cơ chế triển khai chính sách trên địa bàn; phân cấp, giao nhiệm vụ cho cấp xã trong xác nhận, tổ chức thực hiện và giám sát liên kết tại cơ sở.</w:t>
      </w:r>
    </w:p>
    <w:p w14:paraId="152A6F0E">
      <w:pPr>
        <w:tabs>
          <w:tab w:val="left" w:pos="-5940"/>
          <w:tab w:val="left" w:pos="0"/>
        </w:tabs>
        <w:spacing w:before="120" w:after="0" w:line="240" w:lineRule="auto"/>
        <w:ind w:right="-18" w:firstLine="540"/>
        <w:jc w:val="both"/>
        <w:rPr>
          <w:rFonts w:hint="default" w:ascii="Times New Roman" w:hAnsi="Times New Roman" w:eastAsia="Times New Roman" w:cs="Times New Roman"/>
          <w:sz w:val="28"/>
          <w:lang w:val="en-US" w:eastAsia="vi-VN"/>
        </w:rPr>
      </w:pPr>
      <w:r>
        <w:rPr>
          <w:rFonts w:hint="default" w:ascii="Times New Roman" w:hAnsi="Times New Roman" w:eastAsia="Times New Roman" w:cs="Times New Roman"/>
          <w:sz w:val="28"/>
          <w:lang w:val="en-US" w:eastAsia="vi-VN"/>
        </w:rPr>
        <w:t>Việc bổ sung các quy định về quản lý nhà nước và dữ liệu giúp tăng cường vai trò điều phối, giám sát của cơ quan trung ương; hình thành nền tảng dữ liệu số phục vụ quản trị chuỗi giá trị; đẩy mạnh phân cấp, phát huy tính chủ động của địa phương; bảo đảm phù hợp với yêu cầu chuyển đổi số và nâng cao hiệu lực, hiệu quả quản lý nhà nước trong lĩnh vực liên kết chuỗi giá trị nông nghiệp.</w:t>
      </w:r>
    </w:p>
    <w:p w14:paraId="2665737C">
      <w:pPr>
        <w:tabs>
          <w:tab w:val="left" w:pos="-5940"/>
          <w:tab w:val="left" w:pos="0"/>
        </w:tabs>
        <w:spacing w:before="120" w:after="0" w:line="240" w:lineRule="auto"/>
        <w:ind w:right="-18" w:firstLine="540"/>
        <w:jc w:val="both"/>
        <w:rPr>
          <w:rFonts w:hint="default" w:ascii="Times New Roman" w:hAnsi="Times New Roman" w:eastAsia="Times New Roman" w:cs="Times New Roman"/>
          <w:sz w:val="28"/>
          <w:lang w:val="en-US" w:eastAsia="vi-VN"/>
        </w:rPr>
      </w:pPr>
      <w:r>
        <w:rPr>
          <w:rFonts w:hint="default" w:ascii="Times New Roman" w:hAnsi="Times New Roman" w:eastAsia="Times New Roman" w:cs="Times New Roman"/>
          <w:b/>
          <w:bCs/>
          <w:i/>
          <w:iCs/>
          <w:sz w:val="28"/>
          <w:lang w:val="en-US" w:eastAsia="vi-VN"/>
        </w:rPr>
        <w:t>2.10. Sửa đổi, bổ sung quy định về xử lý vi phạm và cơ chế thực thi chính sách liên kết chuỗi giá trị</w:t>
      </w:r>
    </w:p>
    <w:p w14:paraId="436C8F36">
      <w:pPr>
        <w:tabs>
          <w:tab w:val="left" w:pos="-5940"/>
          <w:tab w:val="left" w:pos="0"/>
        </w:tabs>
        <w:spacing w:before="120" w:after="0" w:line="240" w:lineRule="auto"/>
        <w:ind w:right="-18" w:firstLine="540"/>
        <w:jc w:val="both"/>
        <w:rPr>
          <w:rFonts w:hint="default" w:ascii="Times New Roman" w:hAnsi="Times New Roman" w:eastAsia="Times New Roman" w:cs="Times New Roman"/>
          <w:sz w:val="28"/>
          <w:lang w:val="en-US" w:eastAsia="vi-VN"/>
        </w:rPr>
      </w:pPr>
      <w:r>
        <w:rPr>
          <w:rFonts w:hint="default" w:ascii="Times New Roman" w:hAnsi="Times New Roman" w:eastAsia="Times New Roman" w:cs="Times New Roman"/>
          <w:sz w:val="28"/>
          <w:lang w:val="en-US" w:eastAsia="vi-VN"/>
        </w:rPr>
        <w:t>Nghị định số 98/2018/NĐ-CP quy định về xử lý vi phạm chủ yếu tại Điều 13, tập trung vào các hành vi vi phạm hợp đồng liên kết và quy định cấm tham gia chính sách trong thời hạn 05 năm đối với một số trường hợp vi phạm. Tuy nhiên, các quy định hiện hành còn một số hạn chế: (i) Thiếu các chế tài kinh tế cụ thể như thu hồi kinh phí hỗ trợ khi sử dụng sai mục đích hoặc không đạt cam kết; (ii) Chưa quy định đầy đủ về trách nhiệm của các chủ thể trong quản lý, sử dụng vốn hỗ trợ; (iii) Chưa có cơ chế xử lý vi phạm gắn với toàn bộ quá trình thực hiện chính sách, từ phê duyệt, triển khai đến nghiệm thu; (iv) Chưa đủ sức răn đe, dẫn đến tình trạng vi phạm, trục lợi chính sách hoặc phá vỡ liên kết vẫn xảy ra trong thực tiễn.</w:t>
      </w:r>
    </w:p>
    <w:p w14:paraId="38DA3D75">
      <w:pPr>
        <w:tabs>
          <w:tab w:val="left" w:pos="-5940"/>
          <w:tab w:val="left" w:pos="0"/>
        </w:tabs>
        <w:spacing w:before="120" w:after="0" w:line="240" w:lineRule="auto"/>
        <w:ind w:right="-18" w:firstLine="540"/>
        <w:jc w:val="both"/>
        <w:rPr>
          <w:rFonts w:hint="default" w:ascii="Times New Roman" w:hAnsi="Times New Roman" w:eastAsia="Times New Roman" w:cs="Times New Roman"/>
          <w:sz w:val="28"/>
          <w:lang w:val="en-US" w:eastAsia="vi-VN"/>
        </w:rPr>
      </w:pPr>
      <w:r>
        <w:rPr>
          <w:rFonts w:hint="default" w:ascii="Times New Roman" w:hAnsi="Times New Roman" w:eastAsia="Times New Roman" w:cs="Times New Roman"/>
          <w:sz w:val="28"/>
          <w:lang w:val="en-US" w:eastAsia="vi-VN"/>
        </w:rPr>
        <w:t>Nghị định phát triển liên kết chuỗi giá trị cần sửa đổi, bổ sung quy định về xử lý vi phạm theo hướng tăng cường tính ràng buộc và hiệu lực thực thi, cụ thể: (i) Bổ sung cơ chế thu hồi toàn bộ hoặc một phần kinh phí hỗ trợ đối với các trường hợp: sử dụng vốn không đúng mục đích; không thực hiện hoặc thực hiện không đầy đủ các nội dung cam kết; gian lận, trục lợi chính sách; (ii) Bổ sung chế tài hạn chế hoặc tạm dừng tham gia chính sách trong một thời gian nhất định đối với các chủ thể vi phạm; (iii) Quy định rõ trách nhiệm của các chủ thể trong quản lý, sử dụng vốn hỗ trợ, bao gồm trách nhiệm hoàn trả, bồi thường thiệt hại và chịu trách nhiệm trước pháp luật; (iv) Tăng cường cơ chế giám sát, kiểm tra và hậu kiểm, gắn trách nhiệm của cơ quan quản lý nhà nước và chủ thể tham gia liên kết trong toàn bộ quá trình thực hiện chính sách.</w:t>
      </w:r>
    </w:p>
    <w:p w14:paraId="68CA4193">
      <w:pPr>
        <w:tabs>
          <w:tab w:val="left" w:pos="-5940"/>
          <w:tab w:val="left" w:pos="0"/>
        </w:tabs>
        <w:spacing w:before="120" w:after="0" w:line="240" w:lineRule="auto"/>
        <w:ind w:right="-18" w:firstLine="540"/>
        <w:jc w:val="both"/>
        <w:rPr>
          <w:rFonts w:hint="default" w:ascii="Times New Roman" w:hAnsi="Times New Roman" w:eastAsia="Times New Roman" w:cs="Times New Roman"/>
          <w:sz w:val="28"/>
          <w:lang w:val="en-US" w:eastAsia="vi-VN"/>
        </w:rPr>
      </w:pPr>
      <w:r>
        <w:rPr>
          <w:rFonts w:hint="default" w:ascii="Times New Roman" w:hAnsi="Times New Roman" w:eastAsia="Times New Roman" w:cs="Times New Roman"/>
          <w:sz w:val="28"/>
          <w:lang w:val="en-US" w:eastAsia="vi-VN"/>
        </w:rPr>
        <w:t>Việc sửa đổi, bổ sung quy định về xử lý vi phạm và cơ chế thực thi chính sách sẽ giúp khắc phục khoảng trống về chế tài trong Nghị định hiện hành; tăng cường tính minh bạch, kỷ luật và trách nhiệm trong thực hiện chính sách; hạn chế tình trạng trục lợi, vi phạm và phá vỡ liên kết; nâng cao hiệu lực, hiệu quả quản lý nhà nước và tính bền vững của các chuỗi liên kết.</w:t>
      </w:r>
    </w:p>
    <w:p w14:paraId="0CA7B142">
      <w:pPr>
        <w:tabs>
          <w:tab w:val="left" w:pos="-5940"/>
          <w:tab w:val="left" w:pos="0"/>
        </w:tabs>
        <w:spacing w:before="120" w:after="0" w:line="240" w:lineRule="auto"/>
        <w:ind w:left="0" w:leftChars="0" w:right="-18" w:firstLine="660" w:firstLineChars="0"/>
        <w:jc w:val="both"/>
        <w:rPr>
          <w:rFonts w:hint="default" w:ascii="Times New Roman" w:hAnsi="Times New Roman" w:eastAsia="Times New Roman" w:cs="Times New Roman"/>
          <w:b/>
          <w:sz w:val="28"/>
          <w:lang w:val="en-US"/>
        </w:rPr>
      </w:pPr>
      <w:r>
        <w:rPr>
          <w:rFonts w:hint="default" w:ascii="Times New Roman" w:hAnsi="Times New Roman" w:eastAsia="Times New Roman" w:cs="Times New Roman"/>
          <w:b/>
          <w:sz w:val="28"/>
          <w:lang w:val="en-US"/>
        </w:rPr>
        <w:t>I</w:t>
      </w:r>
      <w:r>
        <w:rPr>
          <w:rFonts w:ascii="Times New Roman" w:hAnsi="Times New Roman" w:eastAsia="Times New Roman" w:cs="Times New Roman"/>
          <w:b/>
          <w:sz w:val="28"/>
        </w:rPr>
        <w:t xml:space="preserve">V. </w:t>
      </w:r>
      <w:r>
        <w:rPr>
          <w:rFonts w:ascii="Times New Roman" w:hAnsi="Times New Roman" w:eastAsia="Times New Roman" w:cs="Times New Roman"/>
          <w:b/>
          <w:sz w:val="28"/>
          <w:lang w:val="en-US"/>
        </w:rPr>
        <w:t>Đ</w:t>
      </w:r>
      <w:r>
        <w:rPr>
          <w:rFonts w:hint="default" w:ascii="Times New Roman" w:hAnsi="Times New Roman" w:eastAsia="Times New Roman" w:cs="Times New Roman"/>
          <w:b/>
          <w:sz w:val="28"/>
          <w:lang w:val="en-US"/>
        </w:rPr>
        <w:t>ÁNH GIÁ TÁC ĐỘNG CHÍNH SÁCH</w:t>
      </w:r>
    </w:p>
    <w:p w14:paraId="1D19691F">
      <w:pPr>
        <w:keepNext w:val="0"/>
        <w:keepLines w:val="0"/>
        <w:pageBreakBefore w:val="0"/>
        <w:widowControl w:val="0"/>
        <w:kinsoku/>
        <w:wordWrap/>
        <w:overflowPunct/>
        <w:topLinePunct w:val="0"/>
        <w:autoSpaceDE/>
        <w:autoSpaceDN/>
        <w:bidi w:val="0"/>
        <w:adjustRightInd/>
        <w:snapToGrid/>
        <w:spacing w:before="120" w:after="0" w:line="240" w:lineRule="auto"/>
        <w:ind w:left="0" w:leftChars="0" w:firstLine="660" w:firstLineChars="0"/>
        <w:jc w:val="both"/>
        <w:textAlignment w:val="auto"/>
        <w:rPr>
          <w:rFonts w:hint="default" w:ascii="Times New Roman" w:hAnsi="Times New Roman" w:eastAsia="Times New Roman" w:cs="Times New Roman"/>
          <w:sz w:val="28"/>
          <w:szCs w:val="24"/>
          <w:lang w:val="en-US" w:eastAsia="vi-VN"/>
        </w:rPr>
      </w:pPr>
      <w:r>
        <w:rPr>
          <w:rFonts w:hint="default" w:ascii="Times New Roman" w:hAnsi="Times New Roman" w:eastAsia="Times New Roman" w:cs="Times New Roman"/>
          <w:sz w:val="28"/>
          <w:szCs w:val="24"/>
          <w:lang w:val="en-US" w:eastAsia="vi-VN"/>
        </w:rPr>
        <w:t>Việc Chính phủ ban hành Nghị định về chính sách phát triển liên kết chuỗi giá trị nông nghiệp bền vững sẽ có tác động tích cực, toàn diện đến phát triển kinh tế - xã hội, môi trường và ngân sách nhà nước. Cụ thể như sau:</w:t>
      </w:r>
    </w:p>
    <w:p w14:paraId="4B8CEF35">
      <w:pPr>
        <w:keepNext w:val="0"/>
        <w:keepLines w:val="0"/>
        <w:pageBreakBefore w:val="0"/>
        <w:widowControl w:val="0"/>
        <w:kinsoku/>
        <w:wordWrap/>
        <w:overflowPunct/>
        <w:topLinePunct w:val="0"/>
        <w:autoSpaceDE/>
        <w:autoSpaceDN/>
        <w:bidi w:val="0"/>
        <w:adjustRightInd/>
        <w:snapToGrid/>
        <w:spacing w:before="120" w:after="0" w:line="240" w:lineRule="auto"/>
        <w:ind w:left="0" w:leftChars="0" w:firstLine="660" w:firstLineChars="0"/>
        <w:jc w:val="both"/>
        <w:textAlignment w:val="auto"/>
        <w:rPr>
          <w:rFonts w:hint="default" w:ascii="Times New Roman" w:hAnsi="Times New Roman" w:eastAsia="Times New Roman" w:cs="Times New Roman"/>
          <w:b/>
          <w:bCs/>
          <w:sz w:val="28"/>
          <w:szCs w:val="24"/>
          <w:lang w:val="en-US" w:eastAsia="vi-VN"/>
        </w:rPr>
      </w:pPr>
      <w:r>
        <w:rPr>
          <w:rFonts w:hint="default" w:ascii="Times New Roman" w:hAnsi="Times New Roman" w:eastAsia="Times New Roman" w:cs="Times New Roman"/>
          <w:b/>
          <w:bCs/>
          <w:sz w:val="28"/>
          <w:szCs w:val="24"/>
          <w:lang w:val="en-US" w:eastAsia="vi-VN"/>
        </w:rPr>
        <w:t xml:space="preserve">1. Về tác động kinh tế: </w:t>
      </w:r>
    </w:p>
    <w:p w14:paraId="40CCCB90">
      <w:pPr>
        <w:keepNext w:val="0"/>
        <w:keepLines w:val="0"/>
        <w:pageBreakBefore w:val="0"/>
        <w:widowControl w:val="0"/>
        <w:kinsoku/>
        <w:wordWrap/>
        <w:overflowPunct/>
        <w:topLinePunct w:val="0"/>
        <w:autoSpaceDE/>
        <w:autoSpaceDN/>
        <w:bidi w:val="0"/>
        <w:adjustRightInd/>
        <w:snapToGrid/>
        <w:spacing w:before="120" w:after="0" w:line="240" w:lineRule="auto"/>
        <w:ind w:left="0" w:leftChars="0" w:firstLine="660" w:firstLineChars="0"/>
        <w:jc w:val="both"/>
        <w:textAlignment w:val="auto"/>
        <w:rPr>
          <w:rFonts w:hint="default" w:ascii="Times New Roman" w:hAnsi="Times New Roman" w:eastAsia="Times New Roman" w:cs="Times New Roman"/>
          <w:sz w:val="28"/>
          <w:szCs w:val="24"/>
          <w:lang w:val="en-US" w:eastAsia="vi-VN"/>
        </w:rPr>
      </w:pPr>
      <w:r>
        <w:rPr>
          <w:rFonts w:hint="default" w:ascii="Times New Roman" w:hAnsi="Times New Roman" w:eastAsia="Times New Roman" w:cs="Times New Roman"/>
          <w:sz w:val="28"/>
          <w:szCs w:val="24"/>
          <w:lang w:val="en-US" w:eastAsia="vi-VN"/>
        </w:rPr>
        <w:t xml:space="preserve">- Nghị định góp phần thúc đẩy tổ chức sản xuất nông nghiệp theo chuỗi giá trị, gắn kết chặt chẽ giữa sản xuất với chế biến và thị trường, qua đó nâng cao giá trị gia tăng và năng lực cạnh tranh của sản phẩm nông nghiệp. </w:t>
      </w:r>
    </w:p>
    <w:p w14:paraId="22687D74">
      <w:pPr>
        <w:keepNext w:val="0"/>
        <w:keepLines w:val="0"/>
        <w:pageBreakBefore w:val="0"/>
        <w:widowControl w:val="0"/>
        <w:kinsoku/>
        <w:wordWrap/>
        <w:overflowPunct/>
        <w:topLinePunct w:val="0"/>
        <w:autoSpaceDE/>
        <w:autoSpaceDN/>
        <w:bidi w:val="0"/>
        <w:adjustRightInd/>
        <w:snapToGrid/>
        <w:spacing w:before="120" w:after="0" w:line="240" w:lineRule="auto"/>
        <w:ind w:left="0" w:leftChars="0" w:firstLine="660" w:firstLineChars="0"/>
        <w:jc w:val="both"/>
        <w:textAlignment w:val="auto"/>
        <w:rPr>
          <w:rFonts w:hint="default" w:ascii="Times New Roman" w:hAnsi="Times New Roman" w:eastAsia="Times New Roman" w:cs="Times New Roman"/>
          <w:sz w:val="28"/>
          <w:szCs w:val="24"/>
          <w:lang w:val="en-US" w:eastAsia="vi-VN"/>
        </w:rPr>
      </w:pPr>
      <w:r>
        <w:rPr>
          <w:rFonts w:hint="default" w:ascii="Times New Roman" w:hAnsi="Times New Roman" w:eastAsia="Times New Roman" w:cs="Times New Roman"/>
          <w:sz w:val="28"/>
          <w:szCs w:val="24"/>
          <w:lang w:val="en-US" w:eastAsia="vi-VN"/>
        </w:rPr>
        <w:t xml:space="preserve">- Việc phát triển vùng nguyên liệu đạt chuẩn, áp dụng tiêu chuẩn chất lượng và truy xuất nguồn gốc sẽ góp phần giảm chi phí trung gian, nâng cao chất lượng sản phẩm, đáp ứng yêu cầu của thị trường trong nước và xuất khẩu. Đồng thời, cơ chế hợp đồng linh hoạt, cơ chế giá theo thị trường và chia sẻ lợi ích, rủi ro sẽ góp phần ổn định đầu ra, giảm tình trạng phá vỡ liên kết, nâng cao tính bền vững của chuỗi giá trị. </w:t>
      </w:r>
    </w:p>
    <w:p w14:paraId="33F9B726">
      <w:pPr>
        <w:keepNext w:val="0"/>
        <w:keepLines w:val="0"/>
        <w:pageBreakBefore w:val="0"/>
        <w:widowControl w:val="0"/>
        <w:kinsoku/>
        <w:wordWrap/>
        <w:overflowPunct/>
        <w:topLinePunct w:val="0"/>
        <w:autoSpaceDE/>
        <w:autoSpaceDN/>
        <w:bidi w:val="0"/>
        <w:adjustRightInd/>
        <w:snapToGrid/>
        <w:spacing w:before="120" w:after="0" w:line="240" w:lineRule="auto"/>
        <w:ind w:left="0" w:leftChars="0" w:firstLine="660" w:firstLineChars="0"/>
        <w:jc w:val="both"/>
        <w:textAlignment w:val="auto"/>
        <w:rPr>
          <w:rFonts w:hint="default" w:ascii="Times New Roman" w:hAnsi="Times New Roman" w:eastAsia="Times New Roman" w:cs="Times New Roman"/>
          <w:sz w:val="28"/>
          <w:szCs w:val="24"/>
          <w:lang w:val="en-US" w:eastAsia="vi-VN"/>
        </w:rPr>
      </w:pPr>
      <w:r>
        <w:rPr>
          <w:rFonts w:hint="default" w:ascii="Times New Roman" w:hAnsi="Times New Roman" w:eastAsia="Times New Roman" w:cs="Times New Roman"/>
          <w:sz w:val="28"/>
          <w:szCs w:val="24"/>
          <w:lang w:val="en-US" w:eastAsia="vi-VN"/>
        </w:rPr>
        <w:t>- Nghị định cũng tạo động lực thu hút doanh nghiệp đầu tư vào nông nghiệp, đặc biệt trong lĩnh vực chế biến và phát triển vùng nguyên liệu, qua đó nâng cao hiệu quả sử dụng các nguồn lực xã hội.</w:t>
      </w:r>
    </w:p>
    <w:p w14:paraId="5A485BE1">
      <w:pPr>
        <w:keepNext w:val="0"/>
        <w:keepLines w:val="0"/>
        <w:pageBreakBefore w:val="0"/>
        <w:widowControl w:val="0"/>
        <w:kinsoku/>
        <w:wordWrap/>
        <w:overflowPunct/>
        <w:topLinePunct w:val="0"/>
        <w:autoSpaceDE/>
        <w:autoSpaceDN/>
        <w:bidi w:val="0"/>
        <w:adjustRightInd/>
        <w:snapToGrid/>
        <w:spacing w:before="120" w:after="0" w:line="240" w:lineRule="auto"/>
        <w:ind w:left="0" w:leftChars="0" w:firstLine="660" w:firstLineChars="0"/>
        <w:jc w:val="both"/>
        <w:textAlignment w:val="auto"/>
        <w:rPr>
          <w:rFonts w:hint="default" w:ascii="Times New Roman" w:hAnsi="Times New Roman" w:eastAsia="Times New Roman" w:cs="Times New Roman"/>
          <w:sz w:val="28"/>
          <w:szCs w:val="24"/>
          <w:lang w:val="en-US" w:eastAsia="vi-VN"/>
        </w:rPr>
      </w:pPr>
      <w:r>
        <w:rPr>
          <w:rFonts w:hint="default" w:ascii="Times New Roman" w:hAnsi="Times New Roman" w:eastAsia="Times New Roman" w:cs="Times New Roman"/>
          <w:b/>
          <w:bCs/>
          <w:sz w:val="28"/>
          <w:szCs w:val="24"/>
          <w:lang w:val="en-US" w:eastAsia="vi-VN"/>
        </w:rPr>
        <w:t>2. Về tác động xã hội:</w:t>
      </w:r>
      <w:r>
        <w:rPr>
          <w:rFonts w:hint="default" w:ascii="Times New Roman" w:hAnsi="Times New Roman" w:eastAsia="Times New Roman" w:cs="Times New Roman"/>
          <w:sz w:val="28"/>
          <w:szCs w:val="24"/>
          <w:lang w:val="en-US" w:eastAsia="vi-VN"/>
        </w:rPr>
        <w:t xml:space="preserve"> </w:t>
      </w:r>
    </w:p>
    <w:p w14:paraId="2C907C42">
      <w:pPr>
        <w:keepNext w:val="0"/>
        <w:keepLines w:val="0"/>
        <w:pageBreakBefore w:val="0"/>
        <w:widowControl w:val="0"/>
        <w:kinsoku/>
        <w:wordWrap/>
        <w:overflowPunct/>
        <w:topLinePunct w:val="0"/>
        <w:autoSpaceDE/>
        <w:autoSpaceDN/>
        <w:bidi w:val="0"/>
        <w:adjustRightInd/>
        <w:snapToGrid/>
        <w:spacing w:before="120" w:after="0" w:line="240" w:lineRule="auto"/>
        <w:ind w:left="0" w:leftChars="0" w:firstLine="660" w:firstLineChars="0"/>
        <w:jc w:val="both"/>
        <w:textAlignment w:val="auto"/>
        <w:rPr>
          <w:rFonts w:hint="default" w:ascii="Times New Roman" w:hAnsi="Times New Roman" w:eastAsia="Times New Roman" w:cs="Times New Roman"/>
          <w:sz w:val="28"/>
          <w:szCs w:val="24"/>
          <w:lang w:val="en-US" w:eastAsia="vi-VN"/>
        </w:rPr>
      </w:pPr>
      <w:r>
        <w:rPr>
          <w:rFonts w:hint="default" w:ascii="Times New Roman" w:hAnsi="Times New Roman" w:eastAsia="Times New Roman" w:cs="Times New Roman"/>
          <w:sz w:val="28"/>
          <w:szCs w:val="24"/>
          <w:lang w:val="en-US" w:eastAsia="vi-VN"/>
        </w:rPr>
        <w:t xml:space="preserve">- Nghị định góp phần nâng cao thu nhập, ổn định sinh kế cho nông dân thông qua việc tham gia vào các chuỗi liên kết có đầu ra ổn định và giá cả minh bạch. </w:t>
      </w:r>
    </w:p>
    <w:p w14:paraId="3D8C7DC8">
      <w:pPr>
        <w:keepNext w:val="0"/>
        <w:keepLines w:val="0"/>
        <w:pageBreakBefore w:val="0"/>
        <w:widowControl w:val="0"/>
        <w:kinsoku/>
        <w:wordWrap/>
        <w:overflowPunct/>
        <w:topLinePunct w:val="0"/>
        <w:autoSpaceDE/>
        <w:autoSpaceDN/>
        <w:bidi w:val="0"/>
        <w:adjustRightInd/>
        <w:snapToGrid/>
        <w:spacing w:before="120" w:after="0" w:line="240" w:lineRule="auto"/>
        <w:ind w:left="0" w:leftChars="0" w:firstLine="660" w:firstLineChars="0"/>
        <w:jc w:val="both"/>
        <w:textAlignment w:val="auto"/>
        <w:rPr>
          <w:rFonts w:hint="default" w:ascii="Times New Roman" w:hAnsi="Times New Roman" w:eastAsia="Times New Roman" w:cs="Times New Roman"/>
          <w:sz w:val="28"/>
          <w:szCs w:val="24"/>
          <w:lang w:val="en-US" w:eastAsia="vi-VN"/>
        </w:rPr>
      </w:pPr>
      <w:r>
        <w:rPr>
          <w:rFonts w:hint="default" w:ascii="Times New Roman" w:hAnsi="Times New Roman" w:eastAsia="Times New Roman" w:cs="Times New Roman"/>
          <w:sz w:val="28"/>
          <w:szCs w:val="24"/>
          <w:lang w:val="en-US" w:eastAsia="vi-VN"/>
        </w:rPr>
        <w:t xml:space="preserve">- Thúc đẩy phát triển kinh tế hợp tác, nâng cao vai trò của hợp tác xã trong tổ chức sản xuất và liên kết với doanh nghiệp, góp phần củng cố kinh tế tập thể. Việc phát triển chuỗi giá trị còn tạo thêm việc làm trong các lĩnh vực chế biến, logistics và dịch vụ nông nghiệp, thúc đẩy chuyển dịch cơ cấu lao động nông thôn theo hướng tích cực. </w:t>
      </w:r>
    </w:p>
    <w:p w14:paraId="7DEFAA53">
      <w:pPr>
        <w:keepNext w:val="0"/>
        <w:keepLines w:val="0"/>
        <w:pageBreakBefore w:val="0"/>
        <w:widowControl w:val="0"/>
        <w:kinsoku/>
        <w:wordWrap/>
        <w:overflowPunct/>
        <w:topLinePunct w:val="0"/>
        <w:autoSpaceDE/>
        <w:autoSpaceDN/>
        <w:bidi w:val="0"/>
        <w:adjustRightInd/>
        <w:snapToGrid/>
        <w:spacing w:before="120" w:after="0" w:line="240" w:lineRule="auto"/>
        <w:ind w:left="0" w:leftChars="0" w:firstLine="660" w:firstLineChars="0"/>
        <w:jc w:val="both"/>
        <w:textAlignment w:val="auto"/>
        <w:rPr>
          <w:rFonts w:hint="default" w:ascii="Times New Roman" w:hAnsi="Times New Roman" w:eastAsia="Times New Roman" w:cs="Times New Roman"/>
          <w:sz w:val="28"/>
          <w:szCs w:val="24"/>
          <w:lang w:val="en-US" w:eastAsia="vi-VN"/>
        </w:rPr>
      </w:pPr>
      <w:r>
        <w:rPr>
          <w:rFonts w:hint="default" w:ascii="Times New Roman" w:hAnsi="Times New Roman" w:eastAsia="Times New Roman" w:cs="Times New Roman"/>
          <w:sz w:val="28"/>
          <w:szCs w:val="24"/>
          <w:lang w:val="en-US" w:eastAsia="vi-VN"/>
        </w:rPr>
        <w:t>- Bên cạnh đó, thông qua các hoạt động đào tạo, chuyển giao kỹ thuật và ứng dụng công nghệ, năng lực sản xuất và quản trị của các chủ thể tham gia liên kết được nâng cao, góp phần phát triển nông nghiệp theo hướng hiện đại và bao trùm.</w:t>
      </w:r>
    </w:p>
    <w:p w14:paraId="3430D1B6">
      <w:pPr>
        <w:keepNext w:val="0"/>
        <w:keepLines w:val="0"/>
        <w:pageBreakBefore w:val="0"/>
        <w:widowControl w:val="0"/>
        <w:kinsoku/>
        <w:wordWrap/>
        <w:overflowPunct/>
        <w:topLinePunct w:val="0"/>
        <w:autoSpaceDE/>
        <w:autoSpaceDN/>
        <w:bidi w:val="0"/>
        <w:adjustRightInd/>
        <w:snapToGrid/>
        <w:spacing w:before="120" w:after="0" w:line="240" w:lineRule="auto"/>
        <w:ind w:left="0" w:leftChars="0" w:firstLine="660" w:firstLineChars="0"/>
        <w:jc w:val="both"/>
        <w:textAlignment w:val="auto"/>
        <w:rPr>
          <w:rFonts w:hint="default" w:ascii="Times New Roman" w:hAnsi="Times New Roman" w:eastAsia="Times New Roman" w:cs="Times New Roman"/>
          <w:b/>
          <w:bCs/>
          <w:sz w:val="28"/>
          <w:szCs w:val="24"/>
          <w:lang w:val="en-US" w:eastAsia="vi-VN"/>
        </w:rPr>
      </w:pPr>
      <w:r>
        <w:rPr>
          <w:rFonts w:hint="default" w:ascii="Times New Roman" w:hAnsi="Times New Roman" w:eastAsia="Times New Roman" w:cs="Times New Roman"/>
          <w:b/>
          <w:bCs/>
          <w:sz w:val="28"/>
          <w:szCs w:val="24"/>
          <w:lang w:val="en-US" w:eastAsia="vi-VN"/>
        </w:rPr>
        <w:t xml:space="preserve">3. Về tác động môi trường: </w:t>
      </w:r>
    </w:p>
    <w:p w14:paraId="032DD2BA">
      <w:pPr>
        <w:keepNext w:val="0"/>
        <w:keepLines w:val="0"/>
        <w:pageBreakBefore w:val="0"/>
        <w:widowControl w:val="0"/>
        <w:kinsoku/>
        <w:wordWrap/>
        <w:overflowPunct/>
        <w:topLinePunct w:val="0"/>
        <w:autoSpaceDE/>
        <w:autoSpaceDN/>
        <w:bidi w:val="0"/>
        <w:adjustRightInd/>
        <w:snapToGrid/>
        <w:spacing w:before="120" w:after="0" w:line="240" w:lineRule="auto"/>
        <w:ind w:left="0" w:leftChars="0" w:firstLine="660" w:firstLineChars="0"/>
        <w:jc w:val="both"/>
        <w:textAlignment w:val="auto"/>
        <w:rPr>
          <w:rFonts w:hint="default" w:ascii="Times New Roman" w:hAnsi="Times New Roman" w:eastAsia="Times New Roman" w:cs="Times New Roman"/>
          <w:sz w:val="28"/>
          <w:szCs w:val="24"/>
          <w:lang w:val="en-US" w:eastAsia="vi-VN"/>
        </w:rPr>
      </w:pPr>
      <w:r>
        <w:rPr>
          <w:rFonts w:hint="default" w:ascii="Times New Roman" w:hAnsi="Times New Roman" w:eastAsia="Times New Roman" w:cs="Times New Roman"/>
          <w:sz w:val="28"/>
          <w:szCs w:val="24"/>
          <w:lang w:val="en-US" w:eastAsia="vi-VN"/>
        </w:rPr>
        <w:t xml:space="preserve">- Nghị định khuyến khích phát triển sản xuất nông nghiệp theo hướng xanh, bền vững, thúc đẩy áp dụng các quy trình sản xuất tiết kiệm tài nguyên, giảm phát thải và hạn chế sử dụng hóa chất. </w:t>
      </w:r>
    </w:p>
    <w:p w14:paraId="1BDF89E5">
      <w:pPr>
        <w:keepNext w:val="0"/>
        <w:keepLines w:val="0"/>
        <w:pageBreakBefore w:val="0"/>
        <w:widowControl w:val="0"/>
        <w:kinsoku/>
        <w:wordWrap/>
        <w:overflowPunct/>
        <w:topLinePunct w:val="0"/>
        <w:autoSpaceDE/>
        <w:autoSpaceDN/>
        <w:bidi w:val="0"/>
        <w:adjustRightInd/>
        <w:snapToGrid/>
        <w:spacing w:before="120" w:after="0" w:line="240" w:lineRule="auto"/>
        <w:ind w:left="0" w:leftChars="0" w:firstLine="660" w:firstLineChars="0"/>
        <w:jc w:val="both"/>
        <w:textAlignment w:val="auto"/>
        <w:rPr>
          <w:rFonts w:hint="default" w:ascii="Times New Roman" w:hAnsi="Times New Roman" w:eastAsia="Times New Roman" w:cs="Times New Roman"/>
          <w:sz w:val="28"/>
          <w:szCs w:val="24"/>
          <w:lang w:val="en-US" w:eastAsia="vi-VN"/>
        </w:rPr>
      </w:pPr>
      <w:r>
        <w:rPr>
          <w:rFonts w:hint="default" w:ascii="Times New Roman" w:hAnsi="Times New Roman" w:eastAsia="Times New Roman" w:cs="Times New Roman"/>
          <w:sz w:val="28"/>
          <w:szCs w:val="24"/>
          <w:lang w:val="en-US" w:eastAsia="vi-VN"/>
        </w:rPr>
        <w:t xml:space="preserve">- Việc tổ chức sản xuất theo vùng nguyên liệu tập trung, gắn với tiêu chuẩn chất lượng và hệ thống truy xuất nguồn gốc sẽ góp phần tăng cường kiểm soát chất lượng sản phẩm, giảm nguy cơ ô nhiễm môi trường và mất an toàn thực phẩm. </w:t>
      </w:r>
    </w:p>
    <w:p w14:paraId="1D587B0C">
      <w:pPr>
        <w:keepNext w:val="0"/>
        <w:keepLines w:val="0"/>
        <w:pageBreakBefore w:val="0"/>
        <w:widowControl w:val="0"/>
        <w:kinsoku/>
        <w:wordWrap/>
        <w:overflowPunct/>
        <w:topLinePunct w:val="0"/>
        <w:autoSpaceDE/>
        <w:autoSpaceDN/>
        <w:bidi w:val="0"/>
        <w:adjustRightInd/>
        <w:snapToGrid/>
        <w:spacing w:before="120" w:after="0" w:line="240" w:lineRule="auto"/>
        <w:ind w:left="0" w:leftChars="0" w:firstLine="660" w:firstLineChars="0"/>
        <w:jc w:val="both"/>
        <w:textAlignment w:val="auto"/>
        <w:rPr>
          <w:rFonts w:hint="default" w:ascii="Times New Roman" w:hAnsi="Times New Roman" w:eastAsia="Times New Roman" w:cs="Times New Roman"/>
          <w:sz w:val="28"/>
          <w:szCs w:val="24"/>
          <w:lang w:val="en-US" w:eastAsia="vi-VN"/>
        </w:rPr>
      </w:pPr>
      <w:r>
        <w:rPr>
          <w:rFonts w:hint="default" w:ascii="Times New Roman" w:hAnsi="Times New Roman" w:eastAsia="Times New Roman" w:cs="Times New Roman"/>
          <w:sz w:val="28"/>
          <w:szCs w:val="24"/>
          <w:lang w:val="en-US" w:eastAsia="vi-VN"/>
        </w:rPr>
        <w:t>- Đồng thời, chính sách cũng tạo điều kiện thúc đẩy phát triển kinh tế tuần hoàn trong nông nghiệp và nâng cao khả năng thích ứng với biến đổi khí hậu.</w:t>
      </w:r>
    </w:p>
    <w:p w14:paraId="6641EA42">
      <w:pPr>
        <w:keepNext w:val="0"/>
        <w:keepLines w:val="0"/>
        <w:pageBreakBefore w:val="0"/>
        <w:widowControl w:val="0"/>
        <w:kinsoku/>
        <w:wordWrap/>
        <w:overflowPunct/>
        <w:topLinePunct w:val="0"/>
        <w:autoSpaceDE/>
        <w:autoSpaceDN/>
        <w:bidi w:val="0"/>
        <w:adjustRightInd/>
        <w:snapToGrid/>
        <w:spacing w:before="120" w:after="0" w:line="240" w:lineRule="auto"/>
        <w:ind w:left="0" w:leftChars="0" w:firstLine="660" w:firstLineChars="0"/>
        <w:jc w:val="both"/>
        <w:textAlignment w:val="auto"/>
        <w:rPr>
          <w:rFonts w:hint="default" w:ascii="Times New Roman" w:hAnsi="Times New Roman" w:eastAsia="Times New Roman" w:cs="Times New Roman"/>
          <w:b/>
          <w:bCs/>
          <w:sz w:val="28"/>
          <w:szCs w:val="24"/>
          <w:lang w:val="en-US" w:eastAsia="vi-VN"/>
        </w:rPr>
      </w:pPr>
      <w:r>
        <w:rPr>
          <w:rFonts w:hint="default" w:ascii="Times New Roman" w:hAnsi="Times New Roman" w:eastAsia="Times New Roman" w:cs="Times New Roman"/>
          <w:b/>
          <w:bCs/>
          <w:sz w:val="28"/>
          <w:szCs w:val="24"/>
          <w:lang w:val="en-US" w:eastAsia="vi-VN"/>
        </w:rPr>
        <w:t xml:space="preserve">4. Về tác động ngân sách: </w:t>
      </w:r>
    </w:p>
    <w:p w14:paraId="1C2E973D">
      <w:pPr>
        <w:keepNext w:val="0"/>
        <w:keepLines w:val="0"/>
        <w:pageBreakBefore w:val="0"/>
        <w:widowControl w:val="0"/>
        <w:kinsoku/>
        <w:wordWrap/>
        <w:overflowPunct/>
        <w:topLinePunct w:val="0"/>
        <w:autoSpaceDE/>
        <w:autoSpaceDN/>
        <w:bidi w:val="0"/>
        <w:adjustRightInd/>
        <w:snapToGrid/>
        <w:spacing w:before="120" w:after="0" w:line="240" w:lineRule="auto"/>
        <w:ind w:left="0" w:leftChars="0" w:firstLine="660" w:firstLineChars="0"/>
        <w:jc w:val="both"/>
        <w:textAlignment w:val="auto"/>
        <w:rPr>
          <w:rFonts w:hint="default" w:ascii="Times New Roman" w:hAnsi="Times New Roman" w:eastAsia="Times New Roman" w:cs="Times New Roman"/>
          <w:sz w:val="28"/>
          <w:szCs w:val="24"/>
          <w:lang w:val="en-US" w:eastAsia="vi-VN"/>
        </w:rPr>
      </w:pPr>
      <w:r>
        <w:rPr>
          <w:rFonts w:hint="default" w:ascii="Times New Roman" w:hAnsi="Times New Roman" w:eastAsia="Times New Roman" w:cs="Times New Roman"/>
          <w:sz w:val="28"/>
          <w:szCs w:val="24"/>
          <w:lang w:val="en-US" w:eastAsia="vi-VN"/>
        </w:rPr>
        <w:t xml:space="preserve">- Trong ngắn hạn, việc triển khai Nghị định có thể làm tăng nhu cầu bố trí ngân sách nhà nước do mở rộng phạm vi và nội dung hỗ trợ. Tuy nhiên, về trung và dài hạn, chính sách sẽ góp phần nâng cao hiệu quả sử dụng ngân sách thông qua cơ chế lồng ghép các nguồn lực từ các chương trình, dự án hiện hành, giảm dàn trải và trùng lặp. </w:t>
      </w:r>
    </w:p>
    <w:p w14:paraId="29D908A3">
      <w:pPr>
        <w:keepNext w:val="0"/>
        <w:keepLines w:val="0"/>
        <w:pageBreakBefore w:val="0"/>
        <w:widowControl w:val="0"/>
        <w:kinsoku/>
        <w:wordWrap/>
        <w:overflowPunct/>
        <w:topLinePunct w:val="0"/>
        <w:autoSpaceDE/>
        <w:autoSpaceDN/>
        <w:bidi w:val="0"/>
        <w:adjustRightInd/>
        <w:snapToGrid/>
        <w:spacing w:before="120" w:after="0" w:line="240" w:lineRule="auto"/>
        <w:ind w:left="0" w:leftChars="0" w:firstLine="660" w:firstLineChars="0"/>
        <w:jc w:val="both"/>
        <w:textAlignment w:val="auto"/>
        <w:rPr>
          <w:rFonts w:hint="default" w:ascii="Times New Roman" w:hAnsi="Times New Roman" w:eastAsia="Times New Roman" w:cs="Times New Roman"/>
          <w:sz w:val="28"/>
          <w:szCs w:val="24"/>
          <w:lang w:val="en-US" w:eastAsia="vi-VN"/>
        </w:rPr>
      </w:pPr>
      <w:r>
        <w:rPr>
          <w:rFonts w:hint="default" w:ascii="Times New Roman" w:hAnsi="Times New Roman" w:eastAsia="Times New Roman" w:cs="Times New Roman"/>
          <w:sz w:val="28"/>
          <w:szCs w:val="24"/>
          <w:lang w:val="en-US" w:eastAsia="vi-VN"/>
        </w:rPr>
        <w:t>- Việc huy động nguồn lực từ khu vực tư nhân, doanh nghiệp và hợp tác xã sẽ giảm áp lực cho ngân sách nhà nước. Khi chuỗi giá trị phát triển hiệu quả, tăng trưởng kinh tế nông nghiệp được cải thiện sẽ góp phần mở rộng nguồn thu ngân sách và giảm nhu cầu hỗ trợ trực tiếp.</w:t>
      </w:r>
    </w:p>
    <w:p w14:paraId="1AE39237">
      <w:pPr>
        <w:keepNext w:val="0"/>
        <w:keepLines w:val="0"/>
        <w:pageBreakBefore w:val="0"/>
        <w:widowControl w:val="0"/>
        <w:kinsoku/>
        <w:wordWrap/>
        <w:overflowPunct/>
        <w:topLinePunct w:val="0"/>
        <w:autoSpaceDE/>
        <w:autoSpaceDN/>
        <w:bidi w:val="0"/>
        <w:adjustRightInd/>
        <w:snapToGrid/>
        <w:spacing w:before="120" w:after="0" w:line="240" w:lineRule="auto"/>
        <w:ind w:left="0" w:leftChars="0" w:firstLine="660" w:firstLineChars="0"/>
        <w:jc w:val="both"/>
        <w:textAlignment w:val="auto"/>
        <w:rPr>
          <w:rFonts w:hint="default" w:ascii="Times New Roman" w:hAnsi="Times New Roman" w:eastAsia="Times New Roman" w:cs="Times New Roman"/>
          <w:b/>
          <w:bCs/>
          <w:sz w:val="28"/>
          <w:szCs w:val="24"/>
          <w:lang w:val="en-US" w:eastAsia="vi-VN"/>
        </w:rPr>
      </w:pPr>
      <w:r>
        <w:rPr>
          <w:rFonts w:hint="default" w:ascii="Times New Roman" w:hAnsi="Times New Roman" w:eastAsia="Times New Roman" w:cs="Times New Roman"/>
          <w:b/>
          <w:bCs/>
          <w:sz w:val="28"/>
          <w:szCs w:val="24"/>
          <w:lang w:val="en-US" w:eastAsia="vi-VN"/>
        </w:rPr>
        <w:t>5. Đánh giá sự phù hợp, tương thích với điều ước quốc tế</w:t>
      </w:r>
    </w:p>
    <w:p w14:paraId="055C18D3">
      <w:pPr>
        <w:keepNext w:val="0"/>
        <w:keepLines w:val="0"/>
        <w:pageBreakBefore w:val="0"/>
        <w:widowControl w:val="0"/>
        <w:kinsoku/>
        <w:wordWrap/>
        <w:overflowPunct/>
        <w:topLinePunct w:val="0"/>
        <w:autoSpaceDE/>
        <w:autoSpaceDN/>
        <w:bidi w:val="0"/>
        <w:adjustRightInd/>
        <w:snapToGrid/>
        <w:spacing w:before="120" w:after="0" w:line="240" w:lineRule="auto"/>
        <w:ind w:left="0" w:leftChars="0" w:firstLine="660" w:firstLineChars="0"/>
        <w:jc w:val="both"/>
        <w:textAlignment w:val="auto"/>
        <w:rPr>
          <w:rFonts w:hint="default" w:ascii="Times New Roman" w:hAnsi="Times New Roman" w:eastAsia="Times New Roman" w:cs="Times New Roman"/>
          <w:sz w:val="28"/>
          <w:szCs w:val="24"/>
          <w:lang w:val="en-US" w:eastAsia="vi-VN"/>
        </w:rPr>
      </w:pPr>
      <w:r>
        <w:rPr>
          <w:rFonts w:hint="default" w:ascii="Times New Roman" w:hAnsi="Times New Roman" w:eastAsia="Times New Roman" w:cs="Times New Roman"/>
          <w:sz w:val="28"/>
          <w:szCs w:val="24"/>
          <w:lang w:val="en-US" w:eastAsia="vi-VN"/>
        </w:rPr>
        <w:t>Dự thảo Nghị định về chính sách phát triển liên kết chuỗi giá trị nông nghiệp bền vững cơ bản bảo đảm tính tương thích với các điều ước quốc tế mà Việt Nam là thành viên.</w:t>
      </w:r>
    </w:p>
    <w:p w14:paraId="7D8FFC8A">
      <w:pPr>
        <w:keepNext w:val="0"/>
        <w:keepLines w:val="0"/>
        <w:pageBreakBefore w:val="0"/>
        <w:widowControl w:val="0"/>
        <w:kinsoku/>
        <w:wordWrap/>
        <w:overflowPunct/>
        <w:topLinePunct w:val="0"/>
        <w:autoSpaceDE/>
        <w:autoSpaceDN/>
        <w:bidi w:val="0"/>
        <w:adjustRightInd/>
        <w:snapToGrid/>
        <w:spacing w:before="120" w:after="0" w:line="240" w:lineRule="auto"/>
        <w:ind w:left="0" w:leftChars="0" w:firstLine="660" w:firstLineChars="0"/>
        <w:jc w:val="both"/>
        <w:textAlignment w:val="auto"/>
        <w:rPr>
          <w:rFonts w:hint="default" w:ascii="Times New Roman" w:hAnsi="Times New Roman" w:eastAsia="Times New Roman" w:cs="Times New Roman"/>
          <w:sz w:val="28"/>
          <w:szCs w:val="24"/>
          <w:lang w:val="en-US" w:eastAsia="vi-VN"/>
        </w:rPr>
      </w:pPr>
      <w:r>
        <w:rPr>
          <w:rFonts w:hint="default" w:ascii="Times New Roman" w:hAnsi="Times New Roman" w:eastAsia="Times New Roman" w:cs="Times New Roman"/>
          <w:sz w:val="28"/>
          <w:szCs w:val="24"/>
          <w:lang w:val="en-US" w:eastAsia="vi-VN"/>
        </w:rPr>
        <w:t>Các chính sách hỗ trợ trong dự thảo Nghị định được thiết kế theo hướng hỗ trợ phát triển tổ chức sản xuất, nâng cao năng lực liên kết, phát triển vùng nguyên liệu, hạ tầng phục vụ chuỗi giá trị, chuyển giao kỹ thuật, chuyển đổi số, chuyển đổi xanh và nâng cao chất lượng nông sản; không mang tính phân biệt đối xử, không tạo rào cản thương mại hoặc trợ cấp xuất khẩu trái với cam kết quốc tế.</w:t>
      </w:r>
    </w:p>
    <w:p w14:paraId="0499181F">
      <w:pPr>
        <w:keepNext w:val="0"/>
        <w:keepLines w:val="0"/>
        <w:pageBreakBefore w:val="0"/>
        <w:widowControl w:val="0"/>
        <w:kinsoku/>
        <w:wordWrap/>
        <w:overflowPunct/>
        <w:topLinePunct w:val="0"/>
        <w:autoSpaceDE/>
        <w:autoSpaceDN/>
        <w:bidi w:val="0"/>
        <w:adjustRightInd/>
        <w:snapToGrid/>
        <w:spacing w:before="120" w:after="0" w:line="240" w:lineRule="auto"/>
        <w:ind w:left="0" w:leftChars="0" w:firstLine="660" w:firstLineChars="0"/>
        <w:jc w:val="both"/>
        <w:textAlignment w:val="auto"/>
        <w:rPr>
          <w:rFonts w:hint="default" w:ascii="Times New Roman" w:hAnsi="Times New Roman" w:eastAsia="Times New Roman" w:cs="Times New Roman"/>
          <w:sz w:val="28"/>
          <w:szCs w:val="24"/>
          <w:lang w:val="en-US" w:eastAsia="vi-VN"/>
        </w:rPr>
      </w:pPr>
      <w:r>
        <w:rPr>
          <w:rFonts w:hint="default" w:ascii="Times New Roman" w:hAnsi="Times New Roman" w:eastAsia="Times New Roman" w:cs="Times New Roman"/>
          <w:sz w:val="28"/>
          <w:szCs w:val="24"/>
          <w:lang w:val="en-US" w:eastAsia="vi-VN"/>
        </w:rPr>
        <w:t>Qua rà soát bước đầu cho thấy, nội dung chính sách cơ bản phù hợp với các nguyên tắc của Hiệp định Nông nghiệp (AoA) và Hiệp định về Trợ cấp và các biện pháp đối kháng (SCM) của WTO; đồng thời không mâu thuẫn với các cam kết trong các Hiệp định thương mại tự do mà Việt Nam là thành viên như CPTPP, EVFTA, RCEP và các điều ước quốc tế có liên quan khác.</w:t>
      </w:r>
    </w:p>
    <w:p w14:paraId="400F3C30">
      <w:pPr>
        <w:tabs>
          <w:tab w:val="left" w:pos="-5940"/>
          <w:tab w:val="left" w:pos="0"/>
        </w:tabs>
        <w:spacing w:before="120" w:after="0" w:line="240" w:lineRule="auto"/>
        <w:ind w:left="0" w:leftChars="0" w:right="-18" w:firstLine="660" w:firstLineChars="0"/>
        <w:jc w:val="both"/>
        <w:rPr>
          <w:rFonts w:hint="default" w:ascii="Times New Roman" w:hAnsi="Times New Roman" w:eastAsia="Times New Roman" w:cs="Times New Roman"/>
          <w:b/>
          <w:sz w:val="28"/>
          <w:lang w:val="en-US" w:eastAsia="vi-VN"/>
        </w:rPr>
      </w:pPr>
      <w:r>
        <w:rPr>
          <w:rFonts w:hint="default" w:ascii="Times New Roman" w:hAnsi="Times New Roman" w:eastAsia="Times New Roman" w:cs="Times New Roman"/>
          <w:b/>
          <w:sz w:val="28"/>
          <w:lang w:val="en-US" w:eastAsia="vi-VN"/>
        </w:rPr>
        <w:t>V. TỔ CHỨC THỰC HIỆN</w:t>
      </w:r>
    </w:p>
    <w:p w14:paraId="3F8928E4">
      <w:pPr>
        <w:keepNext w:val="0"/>
        <w:keepLines w:val="0"/>
        <w:pageBreakBefore w:val="0"/>
        <w:widowControl w:val="0"/>
        <w:kinsoku/>
        <w:wordWrap/>
        <w:overflowPunct/>
        <w:topLinePunct w:val="0"/>
        <w:autoSpaceDE/>
        <w:autoSpaceDN/>
        <w:bidi w:val="0"/>
        <w:adjustRightInd/>
        <w:snapToGrid/>
        <w:spacing w:before="120" w:after="0" w:line="240" w:lineRule="auto"/>
        <w:ind w:left="0" w:leftChars="0" w:firstLine="660" w:firstLineChars="0"/>
        <w:jc w:val="both"/>
        <w:textAlignment w:val="auto"/>
        <w:rPr>
          <w:rFonts w:hint="default" w:ascii="Times New Roman" w:hAnsi="Times New Roman" w:eastAsia="Times New Roman" w:cs="Times New Roman"/>
          <w:sz w:val="28"/>
          <w:szCs w:val="24"/>
          <w:lang w:val="en-US" w:eastAsia="vi-VN"/>
        </w:rPr>
      </w:pPr>
      <w:r>
        <w:rPr>
          <w:rFonts w:hint="default" w:ascii="Times New Roman" w:hAnsi="Times New Roman" w:eastAsia="Times New Roman" w:cs="Times New Roman"/>
          <w:sz w:val="28"/>
          <w:szCs w:val="24"/>
          <w:lang w:val="en-US" w:eastAsia="vi-VN"/>
        </w:rPr>
        <w:t>Để bảo đảm triển khai hiệu quả Nghị định sau khi được ban hành, cần tổ chức thực hiện đồng bộ, thống nhất từ trung ương đến địa phương:</w:t>
      </w:r>
    </w:p>
    <w:p w14:paraId="5A00B270">
      <w:pPr>
        <w:keepNext w:val="0"/>
        <w:keepLines w:val="0"/>
        <w:pageBreakBefore w:val="0"/>
        <w:widowControl w:val="0"/>
        <w:numPr>
          <w:ilvl w:val="0"/>
          <w:numId w:val="2"/>
        </w:numPr>
        <w:kinsoku/>
        <w:wordWrap/>
        <w:overflowPunct/>
        <w:topLinePunct w:val="0"/>
        <w:autoSpaceDE/>
        <w:autoSpaceDN/>
        <w:bidi w:val="0"/>
        <w:adjustRightInd/>
        <w:snapToGrid/>
        <w:spacing w:before="120" w:after="0" w:line="240" w:lineRule="auto"/>
        <w:ind w:left="0" w:leftChars="0" w:firstLine="660" w:firstLineChars="0"/>
        <w:jc w:val="both"/>
        <w:textAlignment w:val="auto"/>
        <w:rPr>
          <w:rFonts w:hint="default" w:ascii="Times New Roman" w:hAnsi="Times New Roman" w:eastAsia="Times New Roman" w:cs="Times New Roman"/>
          <w:sz w:val="28"/>
          <w:szCs w:val="24"/>
          <w:lang w:val="en-US" w:eastAsia="vi-VN"/>
        </w:rPr>
      </w:pPr>
      <w:r>
        <w:rPr>
          <w:rFonts w:hint="default" w:ascii="Times New Roman" w:hAnsi="Times New Roman" w:eastAsia="Times New Roman" w:cs="Times New Roman"/>
          <w:sz w:val="28"/>
          <w:szCs w:val="24"/>
          <w:lang w:val="en-US" w:eastAsia="vi-VN"/>
        </w:rPr>
        <w:t>Bộ Nông nghiệp và Môi trường: Là cơ quan chủ trì, có trách nhiệm tổ chức triển khai Nghị định; ban hành hoặc trình cấp có thẩm quyền ban hành các văn bản hướng dẫn; xây dựng tiêu chí, quy trình, mẫu biểu phục vụ thực hiện; theo dõi, đôn đốc, kiểm tra, tổng hợp và đánh giá kết quả thực hiện trên phạm vi cả nước.</w:t>
      </w:r>
    </w:p>
    <w:p w14:paraId="6FFBC057">
      <w:pPr>
        <w:keepNext w:val="0"/>
        <w:keepLines w:val="0"/>
        <w:pageBreakBefore w:val="0"/>
        <w:widowControl w:val="0"/>
        <w:numPr>
          <w:ilvl w:val="0"/>
          <w:numId w:val="2"/>
        </w:numPr>
        <w:kinsoku/>
        <w:wordWrap/>
        <w:overflowPunct/>
        <w:topLinePunct w:val="0"/>
        <w:autoSpaceDE/>
        <w:autoSpaceDN/>
        <w:bidi w:val="0"/>
        <w:adjustRightInd/>
        <w:snapToGrid/>
        <w:spacing w:before="120" w:after="0" w:line="240" w:lineRule="auto"/>
        <w:ind w:left="0" w:leftChars="0" w:firstLine="660" w:firstLineChars="0"/>
        <w:jc w:val="both"/>
        <w:textAlignment w:val="auto"/>
        <w:rPr>
          <w:rFonts w:hint="default" w:ascii="Times New Roman" w:hAnsi="Times New Roman" w:eastAsia="Times New Roman" w:cs="Times New Roman"/>
          <w:sz w:val="28"/>
          <w:szCs w:val="24"/>
          <w:lang w:val="en-US" w:eastAsia="vi-VN"/>
        </w:rPr>
      </w:pPr>
      <w:r>
        <w:rPr>
          <w:rFonts w:hint="default" w:ascii="Times New Roman" w:hAnsi="Times New Roman" w:eastAsia="Times New Roman" w:cs="Times New Roman"/>
          <w:sz w:val="28"/>
          <w:szCs w:val="24"/>
          <w:lang w:val="en-US" w:eastAsia="vi-VN"/>
        </w:rPr>
        <w:t>Các bộ, ngành liên quan: Căn cứ chức năng, nhiệm vụ được giao có trách nhiệm phối hợp với Bộ Nông nghiệp và Môi trường trong việc triển khai các chính sách có liên quan, đặc biệt trong các lĩnh vực tín dụng, bảo hiểm nông nghiệp, đầu tư công, chuyển đổi số, xúc tiến thương mại và phát triển thị trường, bảo đảm tính đồng bộ và hiệu quả của chính sách.</w:t>
      </w:r>
    </w:p>
    <w:p w14:paraId="1BB38182">
      <w:pPr>
        <w:keepNext w:val="0"/>
        <w:keepLines w:val="0"/>
        <w:pageBreakBefore w:val="0"/>
        <w:widowControl w:val="0"/>
        <w:numPr>
          <w:ilvl w:val="0"/>
          <w:numId w:val="2"/>
        </w:numPr>
        <w:kinsoku/>
        <w:wordWrap/>
        <w:overflowPunct/>
        <w:topLinePunct w:val="0"/>
        <w:autoSpaceDE/>
        <w:autoSpaceDN/>
        <w:bidi w:val="0"/>
        <w:adjustRightInd/>
        <w:snapToGrid/>
        <w:spacing w:before="120" w:after="0" w:line="240" w:lineRule="auto"/>
        <w:ind w:left="0" w:leftChars="0" w:firstLine="660" w:firstLineChars="0"/>
        <w:jc w:val="both"/>
        <w:textAlignment w:val="auto"/>
        <w:rPr>
          <w:rFonts w:hint="default" w:ascii="Times New Roman" w:hAnsi="Times New Roman" w:eastAsia="Times New Roman" w:cs="Times New Roman"/>
          <w:sz w:val="28"/>
          <w:szCs w:val="24"/>
          <w:lang w:val="en-US" w:eastAsia="vi-VN"/>
        </w:rPr>
      </w:pPr>
      <w:r>
        <w:rPr>
          <w:rFonts w:hint="default" w:ascii="Times New Roman" w:hAnsi="Times New Roman" w:eastAsia="Times New Roman" w:cs="Times New Roman"/>
          <w:sz w:val="28"/>
          <w:szCs w:val="24"/>
          <w:lang w:val="en-US" w:eastAsia="vi-VN"/>
        </w:rPr>
        <w:t>Ủy ban nhân dân cấp tỉnh: Tổ chức triển khai Nghị định trên địa bàn; ban hành các quy định cụ thể về mức hỗ trợ, cơ chế thực hiện phù hợp với điều kiện thực tế và khả năng cân đối ngân sách; tổ chức thẩm định, phê duyệt và triển khai các dự án, kế hoạch liên kết; bố trí và lồng ghép các nguồn lực từ các chương trình, dự án trên địa bàn; đồng thời tăng cường phân cấp, giao quyền cho cấp cơ sở trong tổ chức thực hiện và giám sát.</w:t>
      </w:r>
    </w:p>
    <w:p w14:paraId="2FBD0D01">
      <w:pPr>
        <w:keepNext w:val="0"/>
        <w:keepLines w:val="0"/>
        <w:pageBreakBefore w:val="0"/>
        <w:widowControl w:val="0"/>
        <w:kinsoku/>
        <w:wordWrap/>
        <w:overflowPunct/>
        <w:topLinePunct w:val="0"/>
        <w:autoSpaceDE/>
        <w:autoSpaceDN/>
        <w:bidi w:val="0"/>
        <w:adjustRightInd/>
        <w:snapToGrid/>
        <w:spacing w:before="120" w:after="0" w:line="240" w:lineRule="auto"/>
        <w:ind w:left="0" w:leftChars="0" w:firstLine="660" w:firstLineChars="0"/>
        <w:jc w:val="both"/>
        <w:textAlignment w:val="auto"/>
        <w:rPr>
          <w:rFonts w:hint="default" w:ascii="Times New Roman" w:hAnsi="Times New Roman" w:eastAsia="Times New Roman" w:cs="Times New Roman"/>
          <w:sz w:val="28"/>
          <w:szCs w:val="24"/>
          <w:lang w:val="en-US" w:eastAsia="vi-VN"/>
        </w:rPr>
      </w:pPr>
      <w:r>
        <w:rPr>
          <w:rFonts w:hint="default" w:ascii="Times New Roman" w:hAnsi="Times New Roman" w:eastAsia="Times New Roman" w:cs="Times New Roman"/>
          <w:sz w:val="28"/>
          <w:szCs w:val="24"/>
          <w:lang w:val="en-US" w:eastAsia="vi-VN"/>
        </w:rPr>
        <w:t>4. Các chủ thể tham gia liên kết (bao gồm doanh nghiệp, hợp tác xã, tổ hợp tác và nông dân): Chủ động xây dựng, tổ chức thực hiện liên kết theo quy định; tuân thủ các cam kết trong hợp đồng liên kết; bảo đảm các yêu cầu về tiêu chuẩn chất lượng, truy xuất nguồn gốc và các quy định của pháp luật có liên quan; đồng thời nâng cao năng lực quản trị và tổ chức sản xuất.</w:t>
      </w:r>
    </w:p>
    <w:p w14:paraId="3FE6F38C">
      <w:pPr>
        <w:tabs>
          <w:tab w:val="left" w:pos="-5940"/>
          <w:tab w:val="left" w:pos="0"/>
        </w:tabs>
        <w:spacing w:before="120" w:after="0" w:line="240" w:lineRule="auto"/>
        <w:ind w:left="0" w:leftChars="0" w:right="-18" w:firstLine="660" w:firstLineChars="0"/>
        <w:jc w:val="both"/>
        <w:rPr>
          <w:rFonts w:hint="default" w:ascii="Times New Roman" w:hAnsi="Times New Roman" w:eastAsia="Times New Roman" w:cs="Times New Roman"/>
          <w:b/>
          <w:sz w:val="28"/>
          <w:lang w:val="en-US" w:eastAsia="vi-VN"/>
        </w:rPr>
      </w:pPr>
      <w:r>
        <w:rPr>
          <w:rFonts w:hint="default" w:ascii="Times New Roman" w:hAnsi="Times New Roman" w:eastAsia="Times New Roman" w:cs="Times New Roman"/>
          <w:b/>
          <w:sz w:val="28"/>
          <w:lang w:val="en-US" w:eastAsia="vi-VN"/>
        </w:rPr>
        <w:t>VI. KIẾN NGHỊ</w:t>
      </w:r>
    </w:p>
    <w:p w14:paraId="1248706D">
      <w:pPr>
        <w:keepNext w:val="0"/>
        <w:keepLines w:val="0"/>
        <w:pageBreakBefore w:val="0"/>
        <w:widowControl w:val="0"/>
        <w:kinsoku/>
        <w:wordWrap/>
        <w:overflowPunct/>
        <w:topLinePunct w:val="0"/>
        <w:autoSpaceDE/>
        <w:autoSpaceDN/>
        <w:bidi w:val="0"/>
        <w:adjustRightInd/>
        <w:snapToGrid/>
        <w:spacing w:before="120" w:after="0" w:line="240" w:lineRule="auto"/>
        <w:ind w:left="0" w:leftChars="0" w:firstLine="660" w:firstLineChars="0"/>
        <w:jc w:val="both"/>
        <w:textAlignment w:val="auto"/>
        <w:rPr>
          <w:rFonts w:hint="default" w:ascii="Times New Roman" w:hAnsi="Times New Roman" w:eastAsia="Times New Roman" w:cs="Times New Roman"/>
          <w:sz w:val="28"/>
          <w:szCs w:val="24"/>
          <w:lang w:val="en-US" w:eastAsia="vi-VN"/>
        </w:rPr>
      </w:pPr>
      <w:r>
        <w:rPr>
          <w:rFonts w:hint="default" w:ascii="Times New Roman" w:hAnsi="Times New Roman" w:eastAsia="Times New Roman" w:cs="Times New Roman"/>
          <w:sz w:val="28"/>
          <w:szCs w:val="24"/>
          <w:lang w:val="en-US" w:eastAsia="vi-VN"/>
        </w:rPr>
        <w:t>1. Kính đề nghị Chính phủ xem xét, ban hành Nghị định về chính sách phát triển liên kết chuỗi giá trị nông nghiệp bền vững để thay thế Nghị định số 98/2018/NĐ-CP, nhằm tạo khung thể chế đồng bộ, hiện đại, phù hợp với yêu cầu phát triển nông nghiệp trong giai đoạn mới.</w:t>
      </w:r>
    </w:p>
    <w:p w14:paraId="351C0A12">
      <w:pPr>
        <w:keepNext w:val="0"/>
        <w:keepLines w:val="0"/>
        <w:pageBreakBefore w:val="0"/>
        <w:widowControl w:val="0"/>
        <w:kinsoku/>
        <w:wordWrap/>
        <w:overflowPunct/>
        <w:topLinePunct w:val="0"/>
        <w:autoSpaceDE/>
        <w:autoSpaceDN/>
        <w:bidi w:val="0"/>
        <w:adjustRightInd/>
        <w:snapToGrid/>
        <w:spacing w:before="120" w:after="0" w:line="240" w:lineRule="auto"/>
        <w:ind w:left="0" w:leftChars="0" w:firstLine="660" w:firstLineChars="0"/>
        <w:jc w:val="both"/>
        <w:textAlignment w:val="auto"/>
        <w:rPr>
          <w:rFonts w:hint="default" w:ascii="Times New Roman" w:hAnsi="Times New Roman" w:eastAsia="Times New Roman" w:cs="Times New Roman"/>
          <w:sz w:val="28"/>
          <w:szCs w:val="24"/>
          <w:lang w:val="en-US" w:eastAsia="vi-VN"/>
        </w:rPr>
      </w:pPr>
      <w:r>
        <w:rPr>
          <w:rFonts w:hint="default" w:ascii="Times New Roman" w:hAnsi="Times New Roman" w:eastAsia="Times New Roman" w:cs="Times New Roman"/>
          <w:sz w:val="28"/>
          <w:szCs w:val="24"/>
          <w:lang w:val="en-US" w:eastAsia="vi-VN"/>
        </w:rPr>
        <w:t>2. Đề nghị Chính phủ giao các bộ, ngành và địa phương tổ chức triển khai đồng bộ, hiệu quả Nghị định sau khi được ban hành; cho phép lồng ghép, huy động các nguồn lực từ các chương trình, dự án có liên quan để bảo đảm nguồn lực thực hiện phát triển liên kết chuỗi giá trị.</w:t>
      </w:r>
    </w:p>
    <w:p w14:paraId="0FBB252A">
      <w:pPr>
        <w:tabs>
          <w:tab w:val="left" w:pos="-5940"/>
          <w:tab w:val="left" w:pos="0"/>
        </w:tabs>
        <w:spacing w:before="120" w:after="0" w:line="240" w:lineRule="auto"/>
        <w:ind w:right="-18"/>
        <w:jc w:val="right"/>
        <w:rPr>
          <w:rFonts w:ascii="Times New Roman" w:hAnsi="Times New Roman" w:eastAsia="Times New Roman" w:cs="Times New Roman"/>
          <w:b/>
          <w:spacing w:val="-2"/>
          <w:sz w:val="28"/>
        </w:rPr>
      </w:pPr>
      <w:r>
        <w:rPr>
          <w:rFonts w:ascii="Times New Roman" w:hAnsi="Times New Roman" w:eastAsia="Times New Roman" w:cs="Times New Roman"/>
          <w:b/>
          <w:spacing w:val="-2"/>
          <w:sz w:val="28"/>
        </w:rPr>
        <w:t>BỘ NÔNG NGHIỆP VÀ MÔI TRƯỜNG</w:t>
      </w:r>
    </w:p>
    <w:sectPr>
      <w:headerReference r:id="rId5" w:type="default"/>
      <w:pgSz w:w="11909" w:h="16834"/>
      <w:pgMar w:top="1008" w:right="1008" w:bottom="1008" w:left="1440" w:header="720" w:footer="720" w:gutter="0"/>
      <w:cols w:space="720"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Segoe UI">
    <w:panose1 w:val="020B0502040204020203"/>
    <w:charset w:val="00"/>
    <w:family w:val="swiss"/>
    <w:pitch w:val="default"/>
    <w:sig w:usb0="E4002EFF" w:usb1="C000E47F" w:usb2="00000009" w:usb3="00000000" w:csb0="200001FF" w:csb1="00000000"/>
  </w:font>
  <w:font w:name="Times New Roman Bold">
    <w:altName w:val="Times New Roman"/>
    <w:panose1 w:val="02020803070505020304"/>
    <w:charset w:val="00"/>
    <w:family w:val="auto"/>
    <w:pitch w:val="default"/>
    <w:sig w:usb0="00000000" w:usb1="00000000"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8">
    <w:p>
      <w:pPr>
        <w:spacing w:before="0" w:after="0" w:line="276" w:lineRule="auto"/>
      </w:pPr>
      <w:r>
        <w:separator/>
      </w:r>
    </w:p>
  </w:footnote>
  <w:footnote w:type="continuationSeparator" w:id="9">
    <w:p>
      <w:pPr>
        <w:spacing w:before="0" w:after="0" w:line="276" w:lineRule="auto"/>
      </w:pPr>
      <w:r>
        <w:continuationSeparator/>
      </w:r>
    </w:p>
  </w:footnote>
  <w:footnote w:id="0">
    <w:p w14:paraId="51B929A6">
      <w:pPr>
        <w:pStyle w:val="13"/>
        <w:rPr>
          <w:rFonts w:ascii="Times New Roman" w:hAnsi="Times New Roman" w:cs="Times New Roman"/>
        </w:rPr>
      </w:pPr>
      <w:r>
        <w:rPr>
          <w:rStyle w:val="11"/>
          <w:rFonts w:ascii="Times New Roman" w:hAnsi="Times New Roman" w:cs="Times New Roman"/>
        </w:rPr>
        <w:footnoteRef/>
      </w:r>
      <w:r>
        <w:rPr>
          <w:rFonts w:ascii="Times New Roman" w:hAnsi="Times New Roman" w:cs="Times New Roman"/>
        </w:rPr>
        <w:t xml:space="preserve"> Tại </w:t>
      </w:r>
      <w:r>
        <w:rPr>
          <w:rFonts w:ascii="Times New Roman" w:hAnsi="Times New Roman" w:eastAsia="Times New Roman" w:cs="Times New Roman"/>
        </w:rPr>
        <w:t>Quyết định số 4163/QĐ-BNN-KTHT</w:t>
      </w:r>
    </w:p>
  </w:footnote>
  <w:footnote w:id="1">
    <w:p w14:paraId="477FB120">
      <w:pPr>
        <w:pStyle w:val="13"/>
        <w:rPr>
          <w:rFonts w:ascii="Times New Roman" w:hAnsi="Times New Roman" w:cs="Times New Roman"/>
        </w:rPr>
      </w:pPr>
      <w:r>
        <w:rPr>
          <w:rStyle w:val="11"/>
          <w:rFonts w:ascii="Times New Roman" w:hAnsi="Times New Roman" w:cs="Times New Roman"/>
        </w:rPr>
        <w:footnoteRef/>
      </w:r>
      <w:r>
        <w:rPr>
          <w:rFonts w:ascii="Times New Roman" w:hAnsi="Times New Roman" w:cs="Times New Roman"/>
        </w:rPr>
        <w:t xml:space="preserve"> </w:t>
      </w:r>
      <w:r>
        <w:rPr>
          <w:rFonts w:ascii="Times New Roman" w:hAnsi="Times New Roman" w:eastAsia="Times New Roman" w:cs="Times New Roman"/>
        </w:rPr>
        <w:t xml:space="preserve">Tại Kế hoạch số </w:t>
      </w:r>
      <w:r>
        <w:rPr>
          <w:rFonts w:ascii="Times New Roman" w:hAnsi="Times New Roman" w:eastAsia="Times New Roman" w:cs="Times New Roman"/>
          <w:spacing w:val="2"/>
        </w:rPr>
        <w:t>6390/KH-BNN-KTHT</w:t>
      </w:r>
    </w:p>
  </w:footnote>
  <w:footnote w:id="2">
    <w:p w14:paraId="08BB0114">
      <w:pPr>
        <w:pStyle w:val="13"/>
        <w:rPr>
          <w:rFonts w:ascii="Times New Roman" w:hAnsi="Times New Roman" w:eastAsia="Times New Roman" w:cs="Times New Roman"/>
        </w:rPr>
      </w:pPr>
      <w:r>
        <w:rPr>
          <w:rStyle w:val="11"/>
          <w:rFonts w:ascii="Times New Roman" w:hAnsi="Times New Roman" w:cs="Times New Roman"/>
        </w:rPr>
        <w:footnoteRef/>
      </w:r>
      <w:r>
        <w:rPr>
          <w:rFonts w:ascii="Times New Roman" w:hAnsi="Times New Roman" w:cs="Times New Roman"/>
        </w:rPr>
        <w:t xml:space="preserve"> Văn bản </w:t>
      </w:r>
      <w:r>
        <w:rPr>
          <w:rFonts w:ascii="Times New Roman" w:hAnsi="Times New Roman" w:eastAsia="Times New Roman" w:cs="Times New Roman"/>
        </w:rPr>
        <w:t>số 10468/BNN-KTHT ngày 18/12/2017</w:t>
      </w:r>
    </w:p>
  </w:footnote>
  <w:footnote w:id="3">
    <w:p w14:paraId="092517B0">
      <w:pPr>
        <w:pStyle w:val="21"/>
      </w:pPr>
      <w:r>
        <w:rPr>
          <w:rStyle w:val="11"/>
        </w:rPr>
        <w:footnoteRef/>
      </w:r>
      <w:r>
        <w:t xml:space="preserve"> Cục Kinh tế hợp tác và PTNT đã ban hành các văn bản hướng dẫn, tháo gỡ khó khăn vướng mắc cho các địa phương trong triển khai thực hiện Nghị định số 98/2018/NĐ-CP như: CV số 333/KTHT-HTTT ngày 21/5/2020 gửi Sở Nông nghiệp và PTNT các tỉnh, thành phố về một số nội dung tháo gỡ những khó khăn trong thực hiện Nghị định số 98/2018/NĐ-CP ngày 05/7/2018 của Chính phủ tại các địa phương; Công văn số 172/KTHT-HTTT ngày 8/4/2021 gửi Sở Nông nghiệp và PTNT tỉnh Bắc Kạn về nội dung lựa chọn đơn vị tư vấn hỗ trợ thực hiện dự án liên kết theo Nghị định số 98/2018/NĐ-CP; Công văn số 514/KTHT-HTTT ngày 6/8/2021 gửi Sở Nông nghiệp và PTNT TP. Hà Nội về việc đề xuất tháo gỡ khó khăn, vướng mắc về cơ chế chính sách hỗ trợ phát triển nông nghiệp, nông thôn; Trả lời kiến nghị của UBND tỉnh Tây Ninh về đề nghị việc bổ sung “Doanh nghiệp” vào đối tượng hưởng lợi hỗ trợ  “giống, vật tư, bao bì, nhãn mác sản phẩm” để thực hiện liên kết.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8"/>
        <w:szCs w:val="28"/>
      </w:rPr>
      <w:id w:val="4504904"/>
      <w:docPartObj>
        <w:docPartGallery w:val="autotext"/>
      </w:docPartObj>
    </w:sdtPr>
    <w:sdtEndPr>
      <w:rPr>
        <w:rFonts w:ascii="Times New Roman" w:hAnsi="Times New Roman" w:cs="Times New Roman"/>
        <w:sz w:val="28"/>
        <w:szCs w:val="28"/>
      </w:rPr>
    </w:sdtEndPr>
    <w:sdtContent>
      <w:p w14:paraId="1F68BDD9">
        <w:pPr>
          <w:pStyle w:val="14"/>
          <w:jc w:val="center"/>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rPr>
          <w:t>21</w:t>
        </w:r>
        <w:r>
          <w:rPr>
            <w:rFonts w:ascii="Times New Roman" w:hAnsi="Times New Roman" w:cs="Times New Roman"/>
            <w:sz w:val="28"/>
            <w:szCs w:val="28"/>
          </w:rPr>
          <w:fldChar w:fldCharType="end"/>
        </w:r>
      </w:p>
    </w:sdtContent>
  </w:sdt>
  <w:p w14:paraId="10480365">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BCED47"/>
    <w:multiLevelType w:val="singleLevel"/>
    <w:tmpl w:val="9CBCED47"/>
    <w:lvl w:ilvl="0" w:tentative="0">
      <w:start w:val="1"/>
      <w:numFmt w:val="decimal"/>
      <w:suff w:val="space"/>
      <w:lvlText w:val="%1."/>
      <w:lvlJc w:val="left"/>
    </w:lvl>
  </w:abstractNum>
  <w:abstractNum w:abstractNumId="1">
    <w:nsid w:val="597192AE"/>
    <w:multiLevelType w:val="singleLevel"/>
    <w:tmpl w:val="597192AE"/>
    <w:lvl w:ilvl="0" w:tentative="0">
      <w:start w:val="1"/>
      <w:numFmt w:val="lowerRoman"/>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cumentProtection w:enforcement="0"/>
  <w:defaultTabStop w:val="720"/>
  <w:drawingGridHorizontalSpacing w:val="110"/>
  <w:displayHorizontalDrawingGridEvery w:val="1"/>
  <w:displayVerticalDrawingGridEvery w:val="1"/>
  <w:noPunctuationKerning w:val="1"/>
  <w:characterSpacingControl w:val="doNotCompress"/>
  <w:footnotePr>
    <w:footnote w:id="8"/>
    <w:footnote w:id="9"/>
  </w:footnotePr>
  <w:endnotePr>
    <w:endnote w:id="0"/>
    <w:endnote w:id="1"/>
  </w:endnotePr>
  <w:compat>
    <w:doNotExpandShiftReturn/>
    <w:doNotWrapTextWithPunct/>
    <w:doNotUseEastAsianBreakRules/>
    <w:compatSetting w:name="compatibilityMode" w:uri="http://schemas.microsoft.com/office/word" w:val="12"/>
  </w:compat>
  <w:rsids>
    <w:rsidRoot w:val="00C7762B"/>
    <w:rsid w:val="000006D2"/>
    <w:rsid w:val="00007F21"/>
    <w:rsid w:val="00012611"/>
    <w:rsid w:val="0001374D"/>
    <w:rsid w:val="00013CF9"/>
    <w:rsid w:val="00020636"/>
    <w:rsid w:val="00025DEA"/>
    <w:rsid w:val="00026CC0"/>
    <w:rsid w:val="00026CCA"/>
    <w:rsid w:val="00027F9A"/>
    <w:rsid w:val="0003071F"/>
    <w:rsid w:val="00037A06"/>
    <w:rsid w:val="000406C0"/>
    <w:rsid w:val="00040C7D"/>
    <w:rsid w:val="00054591"/>
    <w:rsid w:val="0005528C"/>
    <w:rsid w:val="000568AC"/>
    <w:rsid w:val="00056D23"/>
    <w:rsid w:val="00060EC7"/>
    <w:rsid w:val="00065E02"/>
    <w:rsid w:val="00070A7F"/>
    <w:rsid w:val="00070DFD"/>
    <w:rsid w:val="0007179E"/>
    <w:rsid w:val="000738C6"/>
    <w:rsid w:val="00075E60"/>
    <w:rsid w:val="00076121"/>
    <w:rsid w:val="00076BD2"/>
    <w:rsid w:val="00077C9C"/>
    <w:rsid w:val="00081013"/>
    <w:rsid w:val="0009079F"/>
    <w:rsid w:val="000918A9"/>
    <w:rsid w:val="00091CF4"/>
    <w:rsid w:val="000931D6"/>
    <w:rsid w:val="00096453"/>
    <w:rsid w:val="000A17CC"/>
    <w:rsid w:val="000A5CAD"/>
    <w:rsid w:val="000B1CB0"/>
    <w:rsid w:val="000B2E37"/>
    <w:rsid w:val="000B5D05"/>
    <w:rsid w:val="000B7092"/>
    <w:rsid w:val="000C4202"/>
    <w:rsid w:val="000C4CF0"/>
    <w:rsid w:val="000C59EA"/>
    <w:rsid w:val="000C64D9"/>
    <w:rsid w:val="000C7D87"/>
    <w:rsid w:val="000D04DF"/>
    <w:rsid w:val="000D07DE"/>
    <w:rsid w:val="000D2FA1"/>
    <w:rsid w:val="000D368F"/>
    <w:rsid w:val="000E31AB"/>
    <w:rsid w:val="000E3DD5"/>
    <w:rsid w:val="000E7093"/>
    <w:rsid w:val="000E77ED"/>
    <w:rsid w:val="000E7908"/>
    <w:rsid w:val="00102C4F"/>
    <w:rsid w:val="001101D4"/>
    <w:rsid w:val="00110756"/>
    <w:rsid w:val="001114AE"/>
    <w:rsid w:val="00113B04"/>
    <w:rsid w:val="00114B23"/>
    <w:rsid w:val="0012742C"/>
    <w:rsid w:val="00131385"/>
    <w:rsid w:val="00133A82"/>
    <w:rsid w:val="00135C3B"/>
    <w:rsid w:val="00137449"/>
    <w:rsid w:val="00141814"/>
    <w:rsid w:val="00141CF0"/>
    <w:rsid w:val="001434C2"/>
    <w:rsid w:val="001437FB"/>
    <w:rsid w:val="00152E85"/>
    <w:rsid w:val="00153118"/>
    <w:rsid w:val="001532D1"/>
    <w:rsid w:val="00161C36"/>
    <w:rsid w:val="001629C7"/>
    <w:rsid w:val="00162B61"/>
    <w:rsid w:val="0017255D"/>
    <w:rsid w:val="00184709"/>
    <w:rsid w:val="00186D30"/>
    <w:rsid w:val="00190793"/>
    <w:rsid w:val="001909F0"/>
    <w:rsid w:val="00191470"/>
    <w:rsid w:val="0019270A"/>
    <w:rsid w:val="00196794"/>
    <w:rsid w:val="0019754E"/>
    <w:rsid w:val="001A421F"/>
    <w:rsid w:val="001A4586"/>
    <w:rsid w:val="001A4A84"/>
    <w:rsid w:val="001A5949"/>
    <w:rsid w:val="001A5F00"/>
    <w:rsid w:val="001A73EC"/>
    <w:rsid w:val="001B176E"/>
    <w:rsid w:val="001B1CF0"/>
    <w:rsid w:val="001B4A75"/>
    <w:rsid w:val="001B4A96"/>
    <w:rsid w:val="001B632D"/>
    <w:rsid w:val="001C0BA5"/>
    <w:rsid w:val="001C18CA"/>
    <w:rsid w:val="001D4C9B"/>
    <w:rsid w:val="001E081B"/>
    <w:rsid w:val="001E6F21"/>
    <w:rsid w:val="001E70CA"/>
    <w:rsid w:val="001F04F8"/>
    <w:rsid w:val="001F1458"/>
    <w:rsid w:val="001F1997"/>
    <w:rsid w:val="001F2A7E"/>
    <w:rsid w:val="001F64C9"/>
    <w:rsid w:val="001F66AF"/>
    <w:rsid w:val="00201AE2"/>
    <w:rsid w:val="0020462E"/>
    <w:rsid w:val="00204F7C"/>
    <w:rsid w:val="00207AF4"/>
    <w:rsid w:val="00212900"/>
    <w:rsid w:val="002165D5"/>
    <w:rsid w:val="00216D36"/>
    <w:rsid w:val="00221A71"/>
    <w:rsid w:val="00230AEE"/>
    <w:rsid w:val="002332F9"/>
    <w:rsid w:val="00235C2E"/>
    <w:rsid w:val="0024063A"/>
    <w:rsid w:val="00253712"/>
    <w:rsid w:val="00255FC7"/>
    <w:rsid w:val="00256FA6"/>
    <w:rsid w:val="0026047F"/>
    <w:rsid w:val="002628BE"/>
    <w:rsid w:val="00263B57"/>
    <w:rsid w:val="002650E3"/>
    <w:rsid w:val="002651ED"/>
    <w:rsid w:val="0026656F"/>
    <w:rsid w:val="00267E58"/>
    <w:rsid w:val="002728D0"/>
    <w:rsid w:val="0027481A"/>
    <w:rsid w:val="00276890"/>
    <w:rsid w:val="00277C35"/>
    <w:rsid w:val="0028109C"/>
    <w:rsid w:val="00282815"/>
    <w:rsid w:val="002828E5"/>
    <w:rsid w:val="00282AC4"/>
    <w:rsid w:val="00283A3C"/>
    <w:rsid w:val="00286184"/>
    <w:rsid w:val="002868E4"/>
    <w:rsid w:val="002877BD"/>
    <w:rsid w:val="0028789D"/>
    <w:rsid w:val="00292A40"/>
    <w:rsid w:val="0029302E"/>
    <w:rsid w:val="00293B89"/>
    <w:rsid w:val="002A06E5"/>
    <w:rsid w:val="002A0C84"/>
    <w:rsid w:val="002B06E7"/>
    <w:rsid w:val="002B3B1A"/>
    <w:rsid w:val="002C1FBB"/>
    <w:rsid w:val="002C2036"/>
    <w:rsid w:val="002C56A0"/>
    <w:rsid w:val="002C6045"/>
    <w:rsid w:val="002C7108"/>
    <w:rsid w:val="002D0F59"/>
    <w:rsid w:val="002D15AD"/>
    <w:rsid w:val="002D6904"/>
    <w:rsid w:val="002E36E8"/>
    <w:rsid w:val="002E48B6"/>
    <w:rsid w:val="002E5ABB"/>
    <w:rsid w:val="002E5F8D"/>
    <w:rsid w:val="002E7992"/>
    <w:rsid w:val="002F4418"/>
    <w:rsid w:val="002F5181"/>
    <w:rsid w:val="002F5349"/>
    <w:rsid w:val="002F5A80"/>
    <w:rsid w:val="002F61D1"/>
    <w:rsid w:val="002F63DD"/>
    <w:rsid w:val="00301FA1"/>
    <w:rsid w:val="00302C40"/>
    <w:rsid w:val="00304916"/>
    <w:rsid w:val="00304E86"/>
    <w:rsid w:val="00305908"/>
    <w:rsid w:val="00306B1A"/>
    <w:rsid w:val="00311C7A"/>
    <w:rsid w:val="00312DE9"/>
    <w:rsid w:val="00312F9A"/>
    <w:rsid w:val="00320701"/>
    <w:rsid w:val="00321ED5"/>
    <w:rsid w:val="0032493F"/>
    <w:rsid w:val="00333564"/>
    <w:rsid w:val="00333FA9"/>
    <w:rsid w:val="003436D1"/>
    <w:rsid w:val="00345BCD"/>
    <w:rsid w:val="003524BA"/>
    <w:rsid w:val="00354413"/>
    <w:rsid w:val="00361159"/>
    <w:rsid w:val="00361914"/>
    <w:rsid w:val="00364393"/>
    <w:rsid w:val="003663D2"/>
    <w:rsid w:val="00371DCB"/>
    <w:rsid w:val="003730FD"/>
    <w:rsid w:val="00373BDE"/>
    <w:rsid w:val="00373F77"/>
    <w:rsid w:val="003911EF"/>
    <w:rsid w:val="00394808"/>
    <w:rsid w:val="00395FEE"/>
    <w:rsid w:val="00397B0A"/>
    <w:rsid w:val="003B2BCF"/>
    <w:rsid w:val="003B3009"/>
    <w:rsid w:val="003B549D"/>
    <w:rsid w:val="003B59BB"/>
    <w:rsid w:val="003B6226"/>
    <w:rsid w:val="003B6F9D"/>
    <w:rsid w:val="003B742A"/>
    <w:rsid w:val="003C19B9"/>
    <w:rsid w:val="003C40A0"/>
    <w:rsid w:val="003D072C"/>
    <w:rsid w:val="003D0E87"/>
    <w:rsid w:val="003D2BDC"/>
    <w:rsid w:val="003D353A"/>
    <w:rsid w:val="003D4BBC"/>
    <w:rsid w:val="003D4D2C"/>
    <w:rsid w:val="003D5D53"/>
    <w:rsid w:val="003D5E3A"/>
    <w:rsid w:val="003D61EC"/>
    <w:rsid w:val="003E0266"/>
    <w:rsid w:val="003E026B"/>
    <w:rsid w:val="003E04BE"/>
    <w:rsid w:val="003E1517"/>
    <w:rsid w:val="003E4E24"/>
    <w:rsid w:val="003E563A"/>
    <w:rsid w:val="003E57E9"/>
    <w:rsid w:val="003E6C12"/>
    <w:rsid w:val="003F0EF3"/>
    <w:rsid w:val="003F1D84"/>
    <w:rsid w:val="003F5D92"/>
    <w:rsid w:val="003F670D"/>
    <w:rsid w:val="003F79E5"/>
    <w:rsid w:val="00402A64"/>
    <w:rsid w:val="00403D67"/>
    <w:rsid w:val="00406581"/>
    <w:rsid w:val="004066F2"/>
    <w:rsid w:val="00413C11"/>
    <w:rsid w:val="00421BFA"/>
    <w:rsid w:val="00422AF4"/>
    <w:rsid w:val="004275D2"/>
    <w:rsid w:val="00427C59"/>
    <w:rsid w:val="00427D73"/>
    <w:rsid w:val="00430976"/>
    <w:rsid w:val="004363AA"/>
    <w:rsid w:val="00442DA9"/>
    <w:rsid w:val="0044383E"/>
    <w:rsid w:val="00443E40"/>
    <w:rsid w:val="0044442A"/>
    <w:rsid w:val="00445625"/>
    <w:rsid w:val="0045278E"/>
    <w:rsid w:val="004621E7"/>
    <w:rsid w:val="0046389B"/>
    <w:rsid w:val="0046596F"/>
    <w:rsid w:val="00466D9D"/>
    <w:rsid w:val="00470450"/>
    <w:rsid w:val="00471105"/>
    <w:rsid w:val="00472C37"/>
    <w:rsid w:val="00476A1E"/>
    <w:rsid w:val="00477F23"/>
    <w:rsid w:val="0048106D"/>
    <w:rsid w:val="00482BF1"/>
    <w:rsid w:val="0049099B"/>
    <w:rsid w:val="00491C52"/>
    <w:rsid w:val="00494B04"/>
    <w:rsid w:val="004A58B4"/>
    <w:rsid w:val="004A6F47"/>
    <w:rsid w:val="004B3488"/>
    <w:rsid w:val="004B681E"/>
    <w:rsid w:val="004C00C9"/>
    <w:rsid w:val="004C1693"/>
    <w:rsid w:val="004C1F94"/>
    <w:rsid w:val="004C23A8"/>
    <w:rsid w:val="004C2A4B"/>
    <w:rsid w:val="004C2E92"/>
    <w:rsid w:val="004C7AB1"/>
    <w:rsid w:val="004D1B41"/>
    <w:rsid w:val="004D375B"/>
    <w:rsid w:val="004E1875"/>
    <w:rsid w:val="004E365F"/>
    <w:rsid w:val="004E5CDE"/>
    <w:rsid w:val="004E5D4D"/>
    <w:rsid w:val="004F5CDA"/>
    <w:rsid w:val="004F7BFF"/>
    <w:rsid w:val="00500AFE"/>
    <w:rsid w:val="005040D5"/>
    <w:rsid w:val="00510177"/>
    <w:rsid w:val="00510A9F"/>
    <w:rsid w:val="00512254"/>
    <w:rsid w:val="00513818"/>
    <w:rsid w:val="00515252"/>
    <w:rsid w:val="00516374"/>
    <w:rsid w:val="00516F21"/>
    <w:rsid w:val="00526B67"/>
    <w:rsid w:val="00530D12"/>
    <w:rsid w:val="00533AAB"/>
    <w:rsid w:val="00535936"/>
    <w:rsid w:val="00535C5A"/>
    <w:rsid w:val="005405B1"/>
    <w:rsid w:val="00540B09"/>
    <w:rsid w:val="0054174A"/>
    <w:rsid w:val="005439B1"/>
    <w:rsid w:val="00551BFC"/>
    <w:rsid w:val="00553298"/>
    <w:rsid w:val="00556FF7"/>
    <w:rsid w:val="00557107"/>
    <w:rsid w:val="005579BD"/>
    <w:rsid w:val="005668BA"/>
    <w:rsid w:val="00566A1F"/>
    <w:rsid w:val="00574706"/>
    <w:rsid w:val="00577A14"/>
    <w:rsid w:val="0058381D"/>
    <w:rsid w:val="005865E9"/>
    <w:rsid w:val="00586FB2"/>
    <w:rsid w:val="00590D05"/>
    <w:rsid w:val="00592CED"/>
    <w:rsid w:val="00593E9F"/>
    <w:rsid w:val="0059524A"/>
    <w:rsid w:val="005A11E4"/>
    <w:rsid w:val="005A36BE"/>
    <w:rsid w:val="005A3C35"/>
    <w:rsid w:val="005A520A"/>
    <w:rsid w:val="005A7E88"/>
    <w:rsid w:val="005B0DD7"/>
    <w:rsid w:val="005B133A"/>
    <w:rsid w:val="005B39CF"/>
    <w:rsid w:val="005B5E9D"/>
    <w:rsid w:val="005B683B"/>
    <w:rsid w:val="005B6CB0"/>
    <w:rsid w:val="005C035A"/>
    <w:rsid w:val="005C2BAB"/>
    <w:rsid w:val="005D71E0"/>
    <w:rsid w:val="005D7773"/>
    <w:rsid w:val="005E11A2"/>
    <w:rsid w:val="005E7234"/>
    <w:rsid w:val="005F35B1"/>
    <w:rsid w:val="005F45B1"/>
    <w:rsid w:val="005F4D5B"/>
    <w:rsid w:val="005F631D"/>
    <w:rsid w:val="00601B4F"/>
    <w:rsid w:val="00606326"/>
    <w:rsid w:val="00614871"/>
    <w:rsid w:val="006164F0"/>
    <w:rsid w:val="00616D2F"/>
    <w:rsid w:val="006246E8"/>
    <w:rsid w:val="00625C82"/>
    <w:rsid w:val="00626A04"/>
    <w:rsid w:val="00627784"/>
    <w:rsid w:val="00632009"/>
    <w:rsid w:val="00641B11"/>
    <w:rsid w:val="006420B4"/>
    <w:rsid w:val="00643550"/>
    <w:rsid w:val="00652181"/>
    <w:rsid w:val="00656DF8"/>
    <w:rsid w:val="00661872"/>
    <w:rsid w:val="006649BE"/>
    <w:rsid w:val="00664A82"/>
    <w:rsid w:val="00670359"/>
    <w:rsid w:val="00670395"/>
    <w:rsid w:val="00670F32"/>
    <w:rsid w:val="0067353C"/>
    <w:rsid w:val="00675FA8"/>
    <w:rsid w:val="00677995"/>
    <w:rsid w:val="00683978"/>
    <w:rsid w:val="0068431E"/>
    <w:rsid w:val="006850C5"/>
    <w:rsid w:val="00687C28"/>
    <w:rsid w:val="00687EA5"/>
    <w:rsid w:val="006916A2"/>
    <w:rsid w:val="00692098"/>
    <w:rsid w:val="00693DAA"/>
    <w:rsid w:val="00693DD0"/>
    <w:rsid w:val="006948A3"/>
    <w:rsid w:val="00694B8A"/>
    <w:rsid w:val="006A0571"/>
    <w:rsid w:val="006A1AB0"/>
    <w:rsid w:val="006A4283"/>
    <w:rsid w:val="006B29BE"/>
    <w:rsid w:val="006C4639"/>
    <w:rsid w:val="006C4D8A"/>
    <w:rsid w:val="006C6FE4"/>
    <w:rsid w:val="006C7D2A"/>
    <w:rsid w:val="006D400A"/>
    <w:rsid w:val="006D4F22"/>
    <w:rsid w:val="006D7F10"/>
    <w:rsid w:val="006E61D8"/>
    <w:rsid w:val="006F2FF6"/>
    <w:rsid w:val="006F39B3"/>
    <w:rsid w:val="006F453E"/>
    <w:rsid w:val="0070481F"/>
    <w:rsid w:val="00704E68"/>
    <w:rsid w:val="0070507E"/>
    <w:rsid w:val="00707CB1"/>
    <w:rsid w:val="00710310"/>
    <w:rsid w:val="007132F3"/>
    <w:rsid w:val="00714C75"/>
    <w:rsid w:val="00715836"/>
    <w:rsid w:val="00716252"/>
    <w:rsid w:val="007171C0"/>
    <w:rsid w:val="00720814"/>
    <w:rsid w:val="0072118B"/>
    <w:rsid w:val="007212F0"/>
    <w:rsid w:val="007222EC"/>
    <w:rsid w:val="007231D6"/>
    <w:rsid w:val="00725FB8"/>
    <w:rsid w:val="00731483"/>
    <w:rsid w:val="00731E1E"/>
    <w:rsid w:val="00735EE4"/>
    <w:rsid w:val="00745252"/>
    <w:rsid w:val="00751FF9"/>
    <w:rsid w:val="00753A03"/>
    <w:rsid w:val="00753EFB"/>
    <w:rsid w:val="00754C13"/>
    <w:rsid w:val="007563F6"/>
    <w:rsid w:val="00760110"/>
    <w:rsid w:val="007603D1"/>
    <w:rsid w:val="00760436"/>
    <w:rsid w:val="007617C7"/>
    <w:rsid w:val="00763A93"/>
    <w:rsid w:val="00763E79"/>
    <w:rsid w:val="00765005"/>
    <w:rsid w:val="00770ABF"/>
    <w:rsid w:val="00771A1F"/>
    <w:rsid w:val="00773F37"/>
    <w:rsid w:val="00774164"/>
    <w:rsid w:val="0077460D"/>
    <w:rsid w:val="00781180"/>
    <w:rsid w:val="00783628"/>
    <w:rsid w:val="00784EBA"/>
    <w:rsid w:val="007A36FF"/>
    <w:rsid w:val="007A6168"/>
    <w:rsid w:val="007B12EA"/>
    <w:rsid w:val="007B1D2A"/>
    <w:rsid w:val="007B2BC3"/>
    <w:rsid w:val="007B7FA7"/>
    <w:rsid w:val="007C3312"/>
    <w:rsid w:val="007C4F93"/>
    <w:rsid w:val="007D025D"/>
    <w:rsid w:val="007D101A"/>
    <w:rsid w:val="007D17EC"/>
    <w:rsid w:val="007D215B"/>
    <w:rsid w:val="007D471D"/>
    <w:rsid w:val="007D4F60"/>
    <w:rsid w:val="007D71B0"/>
    <w:rsid w:val="007E2EDF"/>
    <w:rsid w:val="007E33EB"/>
    <w:rsid w:val="007E3CF8"/>
    <w:rsid w:val="007E643B"/>
    <w:rsid w:val="007E7B39"/>
    <w:rsid w:val="007F6677"/>
    <w:rsid w:val="008010DE"/>
    <w:rsid w:val="00802B15"/>
    <w:rsid w:val="00802BB8"/>
    <w:rsid w:val="00805447"/>
    <w:rsid w:val="008076C3"/>
    <w:rsid w:val="008109BF"/>
    <w:rsid w:val="008110D3"/>
    <w:rsid w:val="00811E26"/>
    <w:rsid w:val="00812572"/>
    <w:rsid w:val="00812CC0"/>
    <w:rsid w:val="00816133"/>
    <w:rsid w:val="008224E7"/>
    <w:rsid w:val="00822D38"/>
    <w:rsid w:val="008246D7"/>
    <w:rsid w:val="00824DC2"/>
    <w:rsid w:val="00825359"/>
    <w:rsid w:val="0083328A"/>
    <w:rsid w:val="00833C94"/>
    <w:rsid w:val="0083492E"/>
    <w:rsid w:val="00836D4B"/>
    <w:rsid w:val="0083798D"/>
    <w:rsid w:val="0084060A"/>
    <w:rsid w:val="008462C6"/>
    <w:rsid w:val="00850689"/>
    <w:rsid w:val="0085232A"/>
    <w:rsid w:val="00853343"/>
    <w:rsid w:val="008538EA"/>
    <w:rsid w:val="00860AFB"/>
    <w:rsid w:val="0086142A"/>
    <w:rsid w:val="0086429A"/>
    <w:rsid w:val="008655A8"/>
    <w:rsid w:val="00871DF1"/>
    <w:rsid w:val="00873694"/>
    <w:rsid w:val="008744EC"/>
    <w:rsid w:val="008775E5"/>
    <w:rsid w:val="00877E46"/>
    <w:rsid w:val="0088111E"/>
    <w:rsid w:val="00890A55"/>
    <w:rsid w:val="008946DF"/>
    <w:rsid w:val="0089505D"/>
    <w:rsid w:val="008952D5"/>
    <w:rsid w:val="008A234D"/>
    <w:rsid w:val="008A675F"/>
    <w:rsid w:val="008B3DFC"/>
    <w:rsid w:val="008B6A6D"/>
    <w:rsid w:val="008B6C24"/>
    <w:rsid w:val="008C2627"/>
    <w:rsid w:val="008C33F7"/>
    <w:rsid w:val="008C5C84"/>
    <w:rsid w:val="008C66EF"/>
    <w:rsid w:val="008C7626"/>
    <w:rsid w:val="008D0D03"/>
    <w:rsid w:val="008D2B39"/>
    <w:rsid w:val="008D3EDF"/>
    <w:rsid w:val="008D3EEE"/>
    <w:rsid w:val="008D4B91"/>
    <w:rsid w:val="008D7D0C"/>
    <w:rsid w:val="008E2F2C"/>
    <w:rsid w:val="008E5399"/>
    <w:rsid w:val="008E7771"/>
    <w:rsid w:val="008F2744"/>
    <w:rsid w:val="008F38F5"/>
    <w:rsid w:val="008F3EDB"/>
    <w:rsid w:val="00900333"/>
    <w:rsid w:val="009005FD"/>
    <w:rsid w:val="009007CF"/>
    <w:rsid w:val="00901F2F"/>
    <w:rsid w:val="0090217F"/>
    <w:rsid w:val="009021BA"/>
    <w:rsid w:val="00904DCC"/>
    <w:rsid w:val="00905040"/>
    <w:rsid w:val="009112A9"/>
    <w:rsid w:val="00912B4A"/>
    <w:rsid w:val="00913B6D"/>
    <w:rsid w:val="00915540"/>
    <w:rsid w:val="0091728A"/>
    <w:rsid w:val="00920939"/>
    <w:rsid w:val="009262A8"/>
    <w:rsid w:val="0093097E"/>
    <w:rsid w:val="00931D22"/>
    <w:rsid w:val="0093219A"/>
    <w:rsid w:val="00932E2C"/>
    <w:rsid w:val="00932EED"/>
    <w:rsid w:val="009343DF"/>
    <w:rsid w:val="00935DFC"/>
    <w:rsid w:val="00936094"/>
    <w:rsid w:val="00936ADE"/>
    <w:rsid w:val="00936E35"/>
    <w:rsid w:val="00937AC9"/>
    <w:rsid w:val="00942240"/>
    <w:rsid w:val="00950E7F"/>
    <w:rsid w:val="0095170C"/>
    <w:rsid w:val="00951D30"/>
    <w:rsid w:val="00953202"/>
    <w:rsid w:val="00954201"/>
    <w:rsid w:val="00962290"/>
    <w:rsid w:val="009638B1"/>
    <w:rsid w:val="009708CF"/>
    <w:rsid w:val="0097374E"/>
    <w:rsid w:val="00987412"/>
    <w:rsid w:val="00993197"/>
    <w:rsid w:val="0099391F"/>
    <w:rsid w:val="00995ABC"/>
    <w:rsid w:val="00997AA9"/>
    <w:rsid w:val="009B2ADA"/>
    <w:rsid w:val="009C0B6C"/>
    <w:rsid w:val="009C0C79"/>
    <w:rsid w:val="009C1B6F"/>
    <w:rsid w:val="009C1BDA"/>
    <w:rsid w:val="009C1C0D"/>
    <w:rsid w:val="009C7F4E"/>
    <w:rsid w:val="009D1F8E"/>
    <w:rsid w:val="009D217C"/>
    <w:rsid w:val="009D249E"/>
    <w:rsid w:val="009D4D24"/>
    <w:rsid w:val="009D7E85"/>
    <w:rsid w:val="009E475D"/>
    <w:rsid w:val="009E5D5B"/>
    <w:rsid w:val="009F2602"/>
    <w:rsid w:val="009F2996"/>
    <w:rsid w:val="009F31E9"/>
    <w:rsid w:val="009F5C4F"/>
    <w:rsid w:val="009F7C78"/>
    <w:rsid w:val="00A01AD3"/>
    <w:rsid w:val="00A0351C"/>
    <w:rsid w:val="00A0400E"/>
    <w:rsid w:val="00A0410A"/>
    <w:rsid w:val="00A04A10"/>
    <w:rsid w:val="00A11151"/>
    <w:rsid w:val="00A1360F"/>
    <w:rsid w:val="00A13CD5"/>
    <w:rsid w:val="00A1457A"/>
    <w:rsid w:val="00A15FF8"/>
    <w:rsid w:val="00A17299"/>
    <w:rsid w:val="00A17BF3"/>
    <w:rsid w:val="00A20903"/>
    <w:rsid w:val="00A20B30"/>
    <w:rsid w:val="00A22A4B"/>
    <w:rsid w:val="00A26BE8"/>
    <w:rsid w:val="00A30005"/>
    <w:rsid w:val="00A30B09"/>
    <w:rsid w:val="00A313AD"/>
    <w:rsid w:val="00A35EB1"/>
    <w:rsid w:val="00A36676"/>
    <w:rsid w:val="00A36AB1"/>
    <w:rsid w:val="00A36DB8"/>
    <w:rsid w:val="00A4569D"/>
    <w:rsid w:val="00A519B4"/>
    <w:rsid w:val="00A63B30"/>
    <w:rsid w:val="00A65740"/>
    <w:rsid w:val="00A66105"/>
    <w:rsid w:val="00A67AB9"/>
    <w:rsid w:val="00A707FC"/>
    <w:rsid w:val="00A76DB5"/>
    <w:rsid w:val="00A803AC"/>
    <w:rsid w:val="00A80A23"/>
    <w:rsid w:val="00A81EA3"/>
    <w:rsid w:val="00A834A8"/>
    <w:rsid w:val="00A9270F"/>
    <w:rsid w:val="00A93C8B"/>
    <w:rsid w:val="00A94087"/>
    <w:rsid w:val="00A952E3"/>
    <w:rsid w:val="00A96552"/>
    <w:rsid w:val="00AA044D"/>
    <w:rsid w:val="00AA0ADB"/>
    <w:rsid w:val="00AA2FBD"/>
    <w:rsid w:val="00AA58AB"/>
    <w:rsid w:val="00AA66D0"/>
    <w:rsid w:val="00AA79F5"/>
    <w:rsid w:val="00AB22B0"/>
    <w:rsid w:val="00AB37F2"/>
    <w:rsid w:val="00AC0104"/>
    <w:rsid w:val="00AC2463"/>
    <w:rsid w:val="00AC3D58"/>
    <w:rsid w:val="00AD493B"/>
    <w:rsid w:val="00AD68EF"/>
    <w:rsid w:val="00AE2B79"/>
    <w:rsid w:val="00AE51B1"/>
    <w:rsid w:val="00AE536D"/>
    <w:rsid w:val="00AE53B5"/>
    <w:rsid w:val="00AF297B"/>
    <w:rsid w:val="00AF3480"/>
    <w:rsid w:val="00AF6420"/>
    <w:rsid w:val="00B01ACD"/>
    <w:rsid w:val="00B05A7F"/>
    <w:rsid w:val="00B0723E"/>
    <w:rsid w:val="00B1030F"/>
    <w:rsid w:val="00B1260F"/>
    <w:rsid w:val="00B2034F"/>
    <w:rsid w:val="00B2095A"/>
    <w:rsid w:val="00B34BEE"/>
    <w:rsid w:val="00B359ED"/>
    <w:rsid w:val="00B35AF1"/>
    <w:rsid w:val="00B37C89"/>
    <w:rsid w:val="00B432DE"/>
    <w:rsid w:val="00B44345"/>
    <w:rsid w:val="00B51F98"/>
    <w:rsid w:val="00B55938"/>
    <w:rsid w:val="00B55C82"/>
    <w:rsid w:val="00B61027"/>
    <w:rsid w:val="00B61030"/>
    <w:rsid w:val="00B65CB1"/>
    <w:rsid w:val="00B66AE6"/>
    <w:rsid w:val="00B71F87"/>
    <w:rsid w:val="00B74A53"/>
    <w:rsid w:val="00B7513B"/>
    <w:rsid w:val="00B7526C"/>
    <w:rsid w:val="00B8061D"/>
    <w:rsid w:val="00B8214F"/>
    <w:rsid w:val="00B877F1"/>
    <w:rsid w:val="00B95D2C"/>
    <w:rsid w:val="00B97BF4"/>
    <w:rsid w:val="00BA3CAE"/>
    <w:rsid w:val="00BA6A90"/>
    <w:rsid w:val="00BB08AA"/>
    <w:rsid w:val="00BB2498"/>
    <w:rsid w:val="00BB3D65"/>
    <w:rsid w:val="00BC144D"/>
    <w:rsid w:val="00BC43B0"/>
    <w:rsid w:val="00BC7780"/>
    <w:rsid w:val="00BC77E6"/>
    <w:rsid w:val="00BE23C6"/>
    <w:rsid w:val="00BE3F4F"/>
    <w:rsid w:val="00C031D8"/>
    <w:rsid w:val="00C0618B"/>
    <w:rsid w:val="00C13AA6"/>
    <w:rsid w:val="00C14BB3"/>
    <w:rsid w:val="00C17466"/>
    <w:rsid w:val="00C219D6"/>
    <w:rsid w:val="00C23D44"/>
    <w:rsid w:val="00C24929"/>
    <w:rsid w:val="00C24C0B"/>
    <w:rsid w:val="00C24DB2"/>
    <w:rsid w:val="00C256E1"/>
    <w:rsid w:val="00C2731C"/>
    <w:rsid w:val="00C30B50"/>
    <w:rsid w:val="00C313EB"/>
    <w:rsid w:val="00C33418"/>
    <w:rsid w:val="00C34294"/>
    <w:rsid w:val="00C35A3D"/>
    <w:rsid w:val="00C369CF"/>
    <w:rsid w:val="00C37BDC"/>
    <w:rsid w:val="00C4057C"/>
    <w:rsid w:val="00C41F51"/>
    <w:rsid w:val="00C420BD"/>
    <w:rsid w:val="00C43B02"/>
    <w:rsid w:val="00C46E01"/>
    <w:rsid w:val="00C61E4E"/>
    <w:rsid w:val="00C634C6"/>
    <w:rsid w:val="00C63874"/>
    <w:rsid w:val="00C73EC6"/>
    <w:rsid w:val="00C76D20"/>
    <w:rsid w:val="00C7762B"/>
    <w:rsid w:val="00C776E4"/>
    <w:rsid w:val="00C82A0A"/>
    <w:rsid w:val="00C8428F"/>
    <w:rsid w:val="00C866D7"/>
    <w:rsid w:val="00C86A95"/>
    <w:rsid w:val="00C94B13"/>
    <w:rsid w:val="00C95695"/>
    <w:rsid w:val="00C964D0"/>
    <w:rsid w:val="00C9712F"/>
    <w:rsid w:val="00C97EA2"/>
    <w:rsid w:val="00CA1950"/>
    <w:rsid w:val="00CA331F"/>
    <w:rsid w:val="00CA41DB"/>
    <w:rsid w:val="00CA5859"/>
    <w:rsid w:val="00CA6F75"/>
    <w:rsid w:val="00CB3918"/>
    <w:rsid w:val="00CB4079"/>
    <w:rsid w:val="00CB528B"/>
    <w:rsid w:val="00CB5498"/>
    <w:rsid w:val="00CC3009"/>
    <w:rsid w:val="00CC3BF6"/>
    <w:rsid w:val="00CD22C2"/>
    <w:rsid w:val="00CD71C5"/>
    <w:rsid w:val="00CE2643"/>
    <w:rsid w:val="00CE3732"/>
    <w:rsid w:val="00CE46A5"/>
    <w:rsid w:val="00CE4C1E"/>
    <w:rsid w:val="00CE5BD7"/>
    <w:rsid w:val="00CF25F3"/>
    <w:rsid w:val="00CF64C3"/>
    <w:rsid w:val="00CF6828"/>
    <w:rsid w:val="00CF737D"/>
    <w:rsid w:val="00D01E6E"/>
    <w:rsid w:val="00D02488"/>
    <w:rsid w:val="00D04336"/>
    <w:rsid w:val="00D05F43"/>
    <w:rsid w:val="00D07075"/>
    <w:rsid w:val="00D22F20"/>
    <w:rsid w:val="00D24855"/>
    <w:rsid w:val="00D31EBE"/>
    <w:rsid w:val="00D34813"/>
    <w:rsid w:val="00D37B2D"/>
    <w:rsid w:val="00D37FC4"/>
    <w:rsid w:val="00D417EE"/>
    <w:rsid w:val="00D445BC"/>
    <w:rsid w:val="00D4709C"/>
    <w:rsid w:val="00D47C43"/>
    <w:rsid w:val="00D53E6B"/>
    <w:rsid w:val="00D550C0"/>
    <w:rsid w:val="00D57FCD"/>
    <w:rsid w:val="00D61C82"/>
    <w:rsid w:val="00D644D7"/>
    <w:rsid w:val="00D64E1F"/>
    <w:rsid w:val="00D74DCD"/>
    <w:rsid w:val="00D75F20"/>
    <w:rsid w:val="00D82068"/>
    <w:rsid w:val="00D84E5B"/>
    <w:rsid w:val="00D877A1"/>
    <w:rsid w:val="00D9015D"/>
    <w:rsid w:val="00D944C3"/>
    <w:rsid w:val="00D97807"/>
    <w:rsid w:val="00D9795E"/>
    <w:rsid w:val="00DA04D5"/>
    <w:rsid w:val="00DA0B87"/>
    <w:rsid w:val="00DA1F06"/>
    <w:rsid w:val="00DA466F"/>
    <w:rsid w:val="00DA5F63"/>
    <w:rsid w:val="00DA64CD"/>
    <w:rsid w:val="00DB029E"/>
    <w:rsid w:val="00DB2E6C"/>
    <w:rsid w:val="00DB447A"/>
    <w:rsid w:val="00DB5072"/>
    <w:rsid w:val="00DB5872"/>
    <w:rsid w:val="00DB7A69"/>
    <w:rsid w:val="00DC084D"/>
    <w:rsid w:val="00DC1262"/>
    <w:rsid w:val="00DC5231"/>
    <w:rsid w:val="00DC568E"/>
    <w:rsid w:val="00DD1096"/>
    <w:rsid w:val="00DD7524"/>
    <w:rsid w:val="00DD7E7E"/>
    <w:rsid w:val="00DE15A1"/>
    <w:rsid w:val="00DE23D5"/>
    <w:rsid w:val="00DF093A"/>
    <w:rsid w:val="00DF1780"/>
    <w:rsid w:val="00DF2A08"/>
    <w:rsid w:val="00DF3882"/>
    <w:rsid w:val="00DF5AF6"/>
    <w:rsid w:val="00DF622C"/>
    <w:rsid w:val="00DF66F9"/>
    <w:rsid w:val="00E0141A"/>
    <w:rsid w:val="00E0534A"/>
    <w:rsid w:val="00E05F97"/>
    <w:rsid w:val="00E1000B"/>
    <w:rsid w:val="00E11485"/>
    <w:rsid w:val="00E11D96"/>
    <w:rsid w:val="00E16A29"/>
    <w:rsid w:val="00E2482D"/>
    <w:rsid w:val="00E33223"/>
    <w:rsid w:val="00E3701D"/>
    <w:rsid w:val="00E4239F"/>
    <w:rsid w:val="00E42C9C"/>
    <w:rsid w:val="00E43A18"/>
    <w:rsid w:val="00E455B5"/>
    <w:rsid w:val="00E458C1"/>
    <w:rsid w:val="00E4716A"/>
    <w:rsid w:val="00E50DF9"/>
    <w:rsid w:val="00E53C1B"/>
    <w:rsid w:val="00E54623"/>
    <w:rsid w:val="00E6086D"/>
    <w:rsid w:val="00E74CEF"/>
    <w:rsid w:val="00E761D3"/>
    <w:rsid w:val="00E8444F"/>
    <w:rsid w:val="00E85AC3"/>
    <w:rsid w:val="00E902C1"/>
    <w:rsid w:val="00E91D75"/>
    <w:rsid w:val="00E92106"/>
    <w:rsid w:val="00E9220A"/>
    <w:rsid w:val="00E92C72"/>
    <w:rsid w:val="00E949B6"/>
    <w:rsid w:val="00E97D84"/>
    <w:rsid w:val="00EA12E2"/>
    <w:rsid w:val="00EA405E"/>
    <w:rsid w:val="00EA6BE0"/>
    <w:rsid w:val="00EA79A9"/>
    <w:rsid w:val="00EB1A20"/>
    <w:rsid w:val="00EB75C9"/>
    <w:rsid w:val="00EC102B"/>
    <w:rsid w:val="00EC1498"/>
    <w:rsid w:val="00EC22B7"/>
    <w:rsid w:val="00ED0981"/>
    <w:rsid w:val="00ED4B45"/>
    <w:rsid w:val="00ED5CFB"/>
    <w:rsid w:val="00EE1628"/>
    <w:rsid w:val="00EE6DF8"/>
    <w:rsid w:val="00EF6C7C"/>
    <w:rsid w:val="00EF713E"/>
    <w:rsid w:val="00F0478F"/>
    <w:rsid w:val="00F04C86"/>
    <w:rsid w:val="00F068E3"/>
    <w:rsid w:val="00F0700B"/>
    <w:rsid w:val="00F116F3"/>
    <w:rsid w:val="00F1199B"/>
    <w:rsid w:val="00F16118"/>
    <w:rsid w:val="00F23B42"/>
    <w:rsid w:val="00F23C1A"/>
    <w:rsid w:val="00F24B65"/>
    <w:rsid w:val="00F26659"/>
    <w:rsid w:val="00F34402"/>
    <w:rsid w:val="00F3541C"/>
    <w:rsid w:val="00F40B15"/>
    <w:rsid w:val="00F503A8"/>
    <w:rsid w:val="00F5163B"/>
    <w:rsid w:val="00F55E0C"/>
    <w:rsid w:val="00F61BA8"/>
    <w:rsid w:val="00F62451"/>
    <w:rsid w:val="00F679ED"/>
    <w:rsid w:val="00F67DB5"/>
    <w:rsid w:val="00F754AF"/>
    <w:rsid w:val="00F7794A"/>
    <w:rsid w:val="00F80C0C"/>
    <w:rsid w:val="00F8719D"/>
    <w:rsid w:val="00F93332"/>
    <w:rsid w:val="00F93D06"/>
    <w:rsid w:val="00F95A34"/>
    <w:rsid w:val="00F96746"/>
    <w:rsid w:val="00FA3C94"/>
    <w:rsid w:val="00FA49F5"/>
    <w:rsid w:val="00FA5BD3"/>
    <w:rsid w:val="00FA7DD9"/>
    <w:rsid w:val="00FA7FE2"/>
    <w:rsid w:val="00FB5CCD"/>
    <w:rsid w:val="00FB7415"/>
    <w:rsid w:val="00FC65E0"/>
    <w:rsid w:val="00FD53B7"/>
    <w:rsid w:val="00FD7492"/>
    <w:rsid w:val="00FE2344"/>
    <w:rsid w:val="00FE3DA5"/>
    <w:rsid w:val="00FE6386"/>
    <w:rsid w:val="00FE6D40"/>
    <w:rsid w:val="00FE7572"/>
    <w:rsid w:val="00FE758C"/>
    <w:rsid w:val="00FF1CE4"/>
    <w:rsid w:val="00FF73F9"/>
    <w:rsid w:val="0362429C"/>
    <w:rsid w:val="03A65C8A"/>
    <w:rsid w:val="04533824"/>
    <w:rsid w:val="046B474E"/>
    <w:rsid w:val="04BC3254"/>
    <w:rsid w:val="05233EFD"/>
    <w:rsid w:val="05A91BD8"/>
    <w:rsid w:val="0623601E"/>
    <w:rsid w:val="06312DB5"/>
    <w:rsid w:val="06507DE7"/>
    <w:rsid w:val="06744B24"/>
    <w:rsid w:val="067C2CE7"/>
    <w:rsid w:val="06D2293F"/>
    <w:rsid w:val="06FF4708"/>
    <w:rsid w:val="07235BC1"/>
    <w:rsid w:val="077E2A57"/>
    <w:rsid w:val="089E0931"/>
    <w:rsid w:val="08C2566D"/>
    <w:rsid w:val="08D33389"/>
    <w:rsid w:val="09146371"/>
    <w:rsid w:val="095B7DEA"/>
    <w:rsid w:val="09DA28B7"/>
    <w:rsid w:val="09FB2DEB"/>
    <w:rsid w:val="0A351CCC"/>
    <w:rsid w:val="0A3D295B"/>
    <w:rsid w:val="0A7A49BE"/>
    <w:rsid w:val="0A952FEA"/>
    <w:rsid w:val="0B044923"/>
    <w:rsid w:val="0B1835C3"/>
    <w:rsid w:val="0B537F25"/>
    <w:rsid w:val="0BB606F8"/>
    <w:rsid w:val="0BBC084E"/>
    <w:rsid w:val="0BD02D72"/>
    <w:rsid w:val="0BD571F9"/>
    <w:rsid w:val="0BDF7B09"/>
    <w:rsid w:val="0BE67494"/>
    <w:rsid w:val="0C354C94"/>
    <w:rsid w:val="0C7E090C"/>
    <w:rsid w:val="0CAF495E"/>
    <w:rsid w:val="0D511F69"/>
    <w:rsid w:val="0D7B752A"/>
    <w:rsid w:val="0D86113E"/>
    <w:rsid w:val="0E241F41"/>
    <w:rsid w:val="0E3E08ED"/>
    <w:rsid w:val="0EAA5A1E"/>
    <w:rsid w:val="0EE000F6"/>
    <w:rsid w:val="0F470D9F"/>
    <w:rsid w:val="0F8D020F"/>
    <w:rsid w:val="0FB748D6"/>
    <w:rsid w:val="0FCC6DFA"/>
    <w:rsid w:val="100C1DE2"/>
    <w:rsid w:val="102D2316"/>
    <w:rsid w:val="10786F12"/>
    <w:rsid w:val="107C119C"/>
    <w:rsid w:val="10B7227A"/>
    <w:rsid w:val="11BA2DA2"/>
    <w:rsid w:val="11C720B8"/>
    <w:rsid w:val="11DD750E"/>
    <w:rsid w:val="128846F4"/>
    <w:rsid w:val="12F22D75"/>
    <w:rsid w:val="13095F47"/>
    <w:rsid w:val="13B74DE6"/>
    <w:rsid w:val="140164DF"/>
    <w:rsid w:val="1456146C"/>
    <w:rsid w:val="14B14FFE"/>
    <w:rsid w:val="14B74989"/>
    <w:rsid w:val="152143B8"/>
    <w:rsid w:val="15224038"/>
    <w:rsid w:val="15512989"/>
    <w:rsid w:val="155B5497"/>
    <w:rsid w:val="162064D9"/>
    <w:rsid w:val="16574435"/>
    <w:rsid w:val="16A022AB"/>
    <w:rsid w:val="171A79F6"/>
    <w:rsid w:val="173A19C3"/>
    <w:rsid w:val="17692FF8"/>
    <w:rsid w:val="17AC4D67"/>
    <w:rsid w:val="17AD27E8"/>
    <w:rsid w:val="18820242"/>
    <w:rsid w:val="188E5359"/>
    <w:rsid w:val="192667D1"/>
    <w:rsid w:val="194D4493"/>
    <w:rsid w:val="1954601C"/>
    <w:rsid w:val="197752D7"/>
    <w:rsid w:val="1A322187"/>
    <w:rsid w:val="1A524C3A"/>
    <w:rsid w:val="1A865494"/>
    <w:rsid w:val="1B0A2A5A"/>
    <w:rsid w:val="1B6B6A0B"/>
    <w:rsid w:val="1BA323E9"/>
    <w:rsid w:val="1BC54B1C"/>
    <w:rsid w:val="1D1B2ECF"/>
    <w:rsid w:val="1D3D6906"/>
    <w:rsid w:val="1DD65800"/>
    <w:rsid w:val="1E0C3ADC"/>
    <w:rsid w:val="1E302A17"/>
    <w:rsid w:val="1E574E55"/>
    <w:rsid w:val="1EA1074C"/>
    <w:rsid w:val="203B3D71"/>
    <w:rsid w:val="20657133"/>
    <w:rsid w:val="20815C2F"/>
    <w:rsid w:val="208D4A74"/>
    <w:rsid w:val="20D067E3"/>
    <w:rsid w:val="20F879A7"/>
    <w:rsid w:val="21C27070"/>
    <w:rsid w:val="23443CE8"/>
    <w:rsid w:val="23842554"/>
    <w:rsid w:val="24A34F2A"/>
    <w:rsid w:val="25B272E5"/>
    <w:rsid w:val="271820AF"/>
    <w:rsid w:val="27486482"/>
    <w:rsid w:val="277450D6"/>
    <w:rsid w:val="28AC0391"/>
    <w:rsid w:val="29036758"/>
    <w:rsid w:val="29CB61A1"/>
    <w:rsid w:val="2A6C5D2A"/>
    <w:rsid w:val="2A863051"/>
    <w:rsid w:val="2AEC1AFB"/>
    <w:rsid w:val="2B372E74"/>
    <w:rsid w:val="2B8A4E7D"/>
    <w:rsid w:val="2CAE5ED9"/>
    <w:rsid w:val="2CDA5AA3"/>
    <w:rsid w:val="2CFC3A5A"/>
    <w:rsid w:val="2D4D5DE2"/>
    <w:rsid w:val="2D5C4D78"/>
    <w:rsid w:val="2DAE7101"/>
    <w:rsid w:val="2E063012"/>
    <w:rsid w:val="2EA2760D"/>
    <w:rsid w:val="2FAB1145"/>
    <w:rsid w:val="30257789"/>
    <w:rsid w:val="307E6F1F"/>
    <w:rsid w:val="30814620"/>
    <w:rsid w:val="308A4F2F"/>
    <w:rsid w:val="30BE1F06"/>
    <w:rsid w:val="30D540AA"/>
    <w:rsid w:val="31FE2893"/>
    <w:rsid w:val="32186CC0"/>
    <w:rsid w:val="334A7032"/>
    <w:rsid w:val="33BB606C"/>
    <w:rsid w:val="350A1211"/>
    <w:rsid w:val="35D905E4"/>
    <w:rsid w:val="36971C9C"/>
    <w:rsid w:val="36E94025"/>
    <w:rsid w:val="37F457DC"/>
    <w:rsid w:val="38C65B34"/>
    <w:rsid w:val="38E96FEE"/>
    <w:rsid w:val="38FC020D"/>
    <w:rsid w:val="39B863C1"/>
    <w:rsid w:val="3A2D6380"/>
    <w:rsid w:val="3A5B144E"/>
    <w:rsid w:val="3AF86D4E"/>
    <w:rsid w:val="3B705713"/>
    <w:rsid w:val="3BD6093A"/>
    <w:rsid w:val="3C14299D"/>
    <w:rsid w:val="3C225536"/>
    <w:rsid w:val="3CC60243"/>
    <w:rsid w:val="3E4B38C2"/>
    <w:rsid w:val="3E8F30B2"/>
    <w:rsid w:val="3FBF59A2"/>
    <w:rsid w:val="407035C7"/>
    <w:rsid w:val="40C60753"/>
    <w:rsid w:val="40E012FC"/>
    <w:rsid w:val="412907F7"/>
    <w:rsid w:val="42307D25"/>
    <w:rsid w:val="42407FBF"/>
    <w:rsid w:val="42693382"/>
    <w:rsid w:val="42D96EB9"/>
    <w:rsid w:val="44C66A64"/>
    <w:rsid w:val="450B5ED4"/>
    <w:rsid w:val="454A343A"/>
    <w:rsid w:val="458A7AA7"/>
    <w:rsid w:val="45A40651"/>
    <w:rsid w:val="46192D48"/>
    <w:rsid w:val="46610A04"/>
    <w:rsid w:val="46BC111E"/>
    <w:rsid w:val="46C30AA8"/>
    <w:rsid w:val="47193A36"/>
    <w:rsid w:val="474E7388"/>
    <w:rsid w:val="48744BEB"/>
    <w:rsid w:val="494707C7"/>
    <w:rsid w:val="49822BAA"/>
    <w:rsid w:val="49AD5BED"/>
    <w:rsid w:val="49BF718C"/>
    <w:rsid w:val="4A6F5CAB"/>
    <w:rsid w:val="4AAD3591"/>
    <w:rsid w:val="4ADA535A"/>
    <w:rsid w:val="4B334AEF"/>
    <w:rsid w:val="4B676243"/>
    <w:rsid w:val="4B9B321A"/>
    <w:rsid w:val="4BC507DB"/>
    <w:rsid w:val="4BF54BAD"/>
    <w:rsid w:val="4C174292"/>
    <w:rsid w:val="4C244078"/>
    <w:rsid w:val="4C286301"/>
    <w:rsid w:val="4C5A2353"/>
    <w:rsid w:val="4CB848EB"/>
    <w:rsid w:val="4CBC6B75"/>
    <w:rsid w:val="4D40134C"/>
    <w:rsid w:val="4D524AEA"/>
    <w:rsid w:val="4E834E5B"/>
    <w:rsid w:val="4EC85950"/>
    <w:rsid w:val="4EE5747E"/>
    <w:rsid w:val="4F2946F0"/>
    <w:rsid w:val="4F43529A"/>
    <w:rsid w:val="4FC000E6"/>
    <w:rsid w:val="4FC122E5"/>
    <w:rsid w:val="501C16FA"/>
    <w:rsid w:val="505E3468"/>
    <w:rsid w:val="50824921"/>
    <w:rsid w:val="509E4251"/>
    <w:rsid w:val="50A6165E"/>
    <w:rsid w:val="523320E9"/>
    <w:rsid w:val="53183661"/>
    <w:rsid w:val="5328717E"/>
    <w:rsid w:val="53537FC2"/>
    <w:rsid w:val="54200610"/>
    <w:rsid w:val="544F66BB"/>
    <w:rsid w:val="54687B0A"/>
    <w:rsid w:val="54A72E72"/>
    <w:rsid w:val="557E1851"/>
    <w:rsid w:val="55B961B3"/>
    <w:rsid w:val="55BD676B"/>
    <w:rsid w:val="576E6AFE"/>
    <w:rsid w:val="57EF0351"/>
    <w:rsid w:val="57FC2EEA"/>
    <w:rsid w:val="58C625B2"/>
    <w:rsid w:val="58D4514B"/>
    <w:rsid w:val="59442E81"/>
    <w:rsid w:val="59AB192B"/>
    <w:rsid w:val="59F11F01"/>
    <w:rsid w:val="5A376F91"/>
    <w:rsid w:val="5A3C3419"/>
    <w:rsid w:val="5A4562A7"/>
    <w:rsid w:val="5A51718F"/>
    <w:rsid w:val="5A561DC4"/>
    <w:rsid w:val="5A8C449C"/>
    <w:rsid w:val="5A964DAC"/>
    <w:rsid w:val="5ADA201D"/>
    <w:rsid w:val="5BD9413E"/>
    <w:rsid w:val="5BD966BD"/>
    <w:rsid w:val="5BE1734D"/>
    <w:rsid w:val="5C1B4BA8"/>
    <w:rsid w:val="5C515082"/>
    <w:rsid w:val="5C7F48CC"/>
    <w:rsid w:val="5D6361C4"/>
    <w:rsid w:val="5DF81F3B"/>
    <w:rsid w:val="5E153A69"/>
    <w:rsid w:val="5E635D67"/>
    <w:rsid w:val="5EBA1FF9"/>
    <w:rsid w:val="5EE83A41"/>
    <w:rsid w:val="5F7104A2"/>
    <w:rsid w:val="5FA00FF1"/>
    <w:rsid w:val="605C71A6"/>
    <w:rsid w:val="60605BAC"/>
    <w:rsid w:val="61580343"/>
    <w:rsid w:val="61842B0D"/>
    <w:rsid w:val="627F6F9B"/>
    <w:rsid w:val="628F5E41"/>
    <w:rsid w:val="633A62DA"/>
    <w:rsid w:val="63600718"/>
    <w:rsid w:val="63C03FB5"/>
    <w:rsid w:val="63D84EDF"/>
    <w:rsid w:val="63E044E9"/>
    <w:rsid w:val="640F75B7"/>
    <w:rsid w:val="645D7336"/>
    <w:rsid w:val="64693149"/>
    <w:rsid w:val="64C45DE1"/>
    <w:rsid w:val="66A01E6F"/>
    <w:rsid w:val="67165330"/>
    <w:rsid w:val="67B2192C"/>
    <w:rsid w:val="68785E71"/>
    <w:rsid w:val="69842EAC"/>
    <w:rsid w:val="69AA52EA"/>
    <w:rsid w:val="69D364AE"/>
    <w:rsid w:val="6A4F3879"/>
    <w:rsid w:val="6A7214AF"/>
    <w:rsid w:val="6AA0237F"/>
    <w:rsid w:val="6C845A17"/>
    <w:rsid w:val="6CDE15A9"/>
    <w:rsid w:val="6D167504"/>
    <w:rsid w:val="6D23681A"/>
    <w:rsid w:val="6D2F00AE"/>
    <w:rsid w:val="6D41164D"/>
    <w:rsid w:val="6D4312CD"/>
    <w:rsid w:val="6DE55959"/>
    <w:rsid w:val="6EC64CCC"/>
    <w:rsid w:val="6EC7274E"/>
    <w:rsid w:val="6EFA74DB"/>
    <w:rsid w:val="6EFD2C28"/>
    <w:rsid w:val="6F555835"/>
    <w:rsid w:val="6F7C56F5"/>
    <w:rsid w:val="6F9540A0"/>
    <w:rsid w:val="70B1597A"/>
    <w:rsid w:val="71C42137"/>
    <w:rsid w:val="71E338E5"/>
    <w:rsid w:val="71E6486A"/>
    <w:rsid w:val="71EB6773"/>
    <w:rsid w:val="722A1ADB"/>
    <w:rsid w:val="72725752"/>
    <w:rsid w:val="736153DB"/>
    <w:rsid w:val="73C36379"/>
    <w:rsid w:val="747B5B27"/>
    <w:rsid w:val="74951F55"/>
    <w:rsid w:val="74975458"/>
    <w:rsid w:val="74F72EF3"/>
    <w:rsid w:val="74FD067F"/>
    <w:rsid w:val="75306550"/>
    <w:rsid w:val="756A0CF5"/>
    <w:rsid w:val="760011A7"/>
    <w:rsid w:val="768A5887"/>
    <w:rsid w:val="770F1364"/>
    <w:rsid w:val="77114867"/>
    <w:rsid w:val="773E082E"/>
    <w:rsid w:val="77D632DB"/>
    <w:rsid w:val="783A77CC"/>
    <w:rsid w:val="788C3D53"/>
    <w:rsid w:val="789F07F6"/>
    <w:rsid w:val="799D7414"/>
    <w:rsid w:val="79F3459F"/>
    <w:rsid w:val="7A4C04B1"/>
    <w:rsid w:val="7A514939"/>
    <w:rsid w:val="7ACD5587"/>
    <w:rsid w:val="7AF122C4"/>
    <w:rsid w:val="7B050F64"/>
    <w:rsid w:val="7B517D5F"/>
    <w:rsid w:val="7C2B54C3"/>
    <w:rsid w:val="7C646922"/>
    <w:rsid w:val="7D69294D"/>
    <w:rsid w:val="7D9C40A0"/>
    <w:rsid w:val="7DFE66C3"/>
    <w:rsid w:val="7E5073C7"/>
    <w:rsid w:val="7E541651"/>
    <w:rsid w:val="7E6D4779"/>
    <w:rsid w:val="7E9136B4"/>
    <w:rsid w:val="7EE14738"/>
    <w:rsid w:val="7EF43758"/>
    <w:rsid w:val="7EFA78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qFormat="1" w:uiPriority="99"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0" w:semiHidden="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3"/>
    <w:basedOn w:val="1"/>
    <w:next w:val="1"/>
    <w:link w:val="24"/>
    <w:semiHidden/>
    <w:unhideWhenUsed/>
    <w:qFormat/>
    <w:uiPriority w:val="9"/>
    <w:pPr>
      <w:keepNext/>
      <w:keepLines/>
      <w:spacing w:before="40" w:after="0"/>
      <w:outlineLvl w:val="2"/>
    </w:pPr>
    <w:rPr>
      <w:rFonts w:asciiTheme="majorHAnsi" w:hAnsiTheme="majorHAnsi" w:eastAsiaTheme="majorEastAsia" w:cstheme="majorBidi"/>
      <w:color w:val="243F61" w:themeColor="accent1" w:themeShade="7F"/>
      <w:sz w:val="24"/>
      <w:szCs w:val="24"/>
    </w:rPr>
  </w:style>
  <w:style w:type="paragraph" w:styleId="3">
    <w:name w:val="heading 4"/>
    <w:basedOn w:val="1"/>
    <w:next w:val="1"/>
    <w:link w:val="28"/>
    <w:semiHidden/>
    <w:unhideWhenUsed/>
    <w:qFormat/>
    <w:uiPriority w:val="9"/>
    <w:pPr>
      <w:keepNext/>
      <w:keepLines/>
      <w:spacing w:before="40" w:after="0"/>
      <w:outlineLvl w:val="3"/>
    </w:pPr>
    <w:rPr>
      <w:rFonts w:asciiTheme="majorHAnsi" w:hAnsiTheme="majorHAnsi" w:eastAsiaTheme="majorEastAsia" w:cstheme="majorBidi"/>
      <w:i/>
      <w:iCs/>
      <w:color w:val="366091" w:themeColor="accent1" w:themeShade="BF"/>
    </w:rPr>
  </w:style>
  <w:style w:type="paragraph" w:styleId="4">
    <w:name w:val="heading 5"/>
    <w:basedOn w:val="1"/>
    <w:next w:val="1"/>
    <w:link w:val="22"/>
    <w:unhideWhenUsed/>
    <w:qFormat/>
    <w:uiPriority w:val="9"/>
    <w:pPr>
      <w:keepNext/>
      <w:spacing w:before="120" w:after="0" w:line="240" w:lineRule="auto"/>
      <w:ind w:firstLine="720"/>
      <w:jc w:val="both"/>
      <w:outlineLvl w:val="4"/>
    </w:pPr>
    <w:rPr>
      <w:rFonts w:ascii="Times New Roman" w:hAnsi="Times New Roman" w:cs="Times New Roman" w:eastAsiaTheme="minorHAnsi"/>
      <w:i/>
      <w:sz w:val="26"/>
      <w:szCs w:val="26"/>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7">
    <w:name w:val="Balloon Text"/>
    <w:basedOn w:val="1"/>
    <w:link w:val="32"/>
    <w:semiHidden/>
    <w:unhideWhenUsed/>
    <w:qFormat/>
    <w:uiPriority w:val="99"/>
    <w:pPr>
      <w:spacing w:after="0" w:line="240" w:lineRule="auto"/>
    </w:pPr>
    <w:rPr>
      <w:rFonts w:ascii="Segoe UI" w:hAnsi="Segoe UI" w:cs="Segoe UI"/>
      <w:sz w:val="18"/>
      <w:szCs w:val="18"/>
    </w:rPr>
  </w:style>
  <w:style w:type="paragraph" w:styleId="8">
    <w:name w:val="Body Text 2"/>
    <w:basedOn w:val="1"/>
    <w:link w:val="25"/>
    <w:unhideWhenUsed/>
    <w:qFormat/>
    <w:uiPriority w:val="0"/>
    <w:pPr>
      <w:spacing w:before="180" w:after="120" w:line="480" w:lineRule="auto"/>
      <w:ind w:firstLine="578"/>
      <w:jc w:val="both"/>
    </w:pPr>
    <w:rPr>
      <w:rFonts w:ascii="Times New Roman" w:hAnsi="Times New Roman" w:eastAsia="Calibri" w:cs="Times New Roman"/>
      <w:sz w:val="26"/>
      <w:lang w:val="vi-VN"/>
    </w:rPr>
  </w:style>
  <w:style w:type="paragraph" w:styleId="9">
    <w:name w:val="caption"/>
    <w:basedOn w:val="1"/>
    <w:next w:val="1"/>
    <w:link w:val="30"/>
    <w:unhideWhenUsed/>
    <w:qFormat/>
    <w:uiPriority w:val="35"/>
    <w:pPr>
      <w:spacing w:line="240" w:lineRule="auto"/>
    </w:pPr>
    <w:rPr>
      <w:i/>
      <w:iCs/>
      <w:color w:val="1F497D" w:themeColor="text2"/>
      <w:sz w:val="18"/>
      <w:szCs w:val="18"/>
    </w:rPr>
  </w:style>
  <w:style w:type="paragraph" w:styleId="10">
    <w:name w:val="footer"/>
    <w:basedOn w:val="1"/>
    <w:link w:val="18"/>
    <w:unhideWhenUsed/>
    <w:qFormat/>
    <w:uiPriority w:val="99"/>
    <w:pPr>
      <w:tabs>
        <w:tab w:val="center" w:pos="4680"/>
        <w:tab w:val="right" w:pos="9360"/>
      </w:tabs>
      <w:spacing w:after="0" w:line="240" w:lineRule="auto"/>
    </w:pPr>
  </w:style>
  <w:style w:type="character" w:styleId="11">
    <w:name w:val="footnote reference"/>
    <w:basedOn w:val="5"/>
    <w:link w:val="12"/>
    <w:unhideWhenUsed/>
    <w:qFormat/>
    <w:uiPriority w:val="99"/>
    <w:rPr>
      <w:vertAlign w:val="superscript"/>
    </w:rPr>
  </w:style>
  <w:style w:type="paragraph" w:customStyle="1" w:styleId="12">
    <w:name w:val="BVI fnr Car Car"/>
    <w:basedOn w:val="1"/>
    <w:link w:val="11"/>
    <w:qFormat/>
    <w:uiPriority w:val="0"/>
    <w:pPr>
      <w:spacing w:after="160" w:line="240" w:lineRule="exact"/>
      <w:ind w:firstLine="720"/>
      <w:jc w:val="both"/>
    </w:pPr>
    <w:rPr>
      <w:vertAlign w:val="superscript"/>
    </w:rPr>
  </w:style>
  <w:style w:type="paragraph" w:styleId="13">
    <w:name w:val="footnote text"/>
    <w:basedOn w:val="1"/>
    <w:link w:val="20"/>
    <w:unhideWhenUsed/>
    <w:qFormat/>
    <w:uiPriority w:val="99"/>
    <w:pPr>
      <w:spacing w:after="0" w:line="240" w:lineRule="auto"/>
    </w:pPr>
    <w:rPr>
      <w:sz w:val="20"/>
      <w:szCs w:val="20"/>
    </w:rPr>
  </w:style>
  <w:style w:type="paragraph" w:styleId="14">
    <w:name w:val="header"/>
    <w:basedOn w:val="1"/>
    <w:link w:val="17"/>
    <w:unhideWhenUsed/>
    <w:qFormat/>
    <w:uiPriority w:val="99"/>
    <w:pPr>
      <w:tabs>
        <w:tab w:val="center" w:pos="4680"/>
        <w:tab w:val="right" w:pos="9360"/>
      </w:tabs>
      <w:spacing w:after="0" w:line="240" w:lineRule="auto"/>
    </w:pPr>
  </w:style>
  <w:style w:type="paragraph" w:styleId="15">
    <w:name w:val="Normal (Web)"/>
    <w:basedOn w:val="1"/>
    <w:semiHidden/>
    <w:unhideWhenUsed/>
    <w:qFormat/>
    <w:uiPriority w:val="99"/>
    <w:pPr>
      <w:spacing w:before="100" w:beforeAutospacing="1" w:after="100" w:afterAutospacing="1" w:line="240" w:lineRule="auto"/>
    </w:pPr>
    <w:rPr>
      <w:rFonts w:ascii="Times New Roman" w:hAnsi="Times New Roman" w:eastAsia="Times New Roman" w:cs="Times New Roman"/>
      <w:sz w:val="24"/>
      <w:szCs w:val="24"/>
      <w:lang w:val="vi-VN" w:eastAsia="vi-VN"/>
    </w:rPr>
  </w:style>
  <w:style w:type="character" w:styleId="16">
    <w:name w:val="Strong"/>
    <w:basedOn w:val="5"/>
    <w:qFormat/>
    <w:uiPriority w:val="22"/>
    <w:rPr>
      <w:b/>
      <w:bCs/>
    </w:rPr>
  </w:style>
  <w:style w:type="character" w:customStyle="1" w:styleId="17">
    <w:name w:val="Header Char"/>
    <w:basedOn w:val="5"/>
    <w:link w:val="14"/>
    <w:qFormat/>
    <w:uiPriority w:val="99"/>
  </w:style>
  <w:style w:type="character" w:customStyle="1" w:styleId="18">
    <w:name w:val="Footer Char"/>
    <w:basedOn w:val="5"/>
    <w:link w:val="10"/>
    <w:qFormat/>
    <w:uiPriority w:val="99"/>
  </w:style>
  <w:style w:type="paragraph" w:styleId="19">
    <w:name w:val="List Paragraph"/>
    <w:basedOn w:val="1"/>
    <w:link w:val="23"/>
    <w:qFormat/>
    <w:uiPriority w:val="34"/>
    <w:pPr>
      <w:ind w:left="720"/>
      <w:contextualSpacing/>
    </w:pPr>
  </w:style>
  <w:style w:type="character" w:customStyle="1" w:styleId="20">
    <w:name w:val="Footnote Text Char"/>
    <w:basedOn w:val="5"/>
    <w:link w:val="13"/>
    <w:qFormat/>
    <w:uiPriority w:val="99"/>
    <w:rPr>
      <w:sz w:val="20"/>
      <w:szCs w:val="20"/>
    </w:rPr>
  </w:style>
  <w:style w:type="paragraph" w:customStyle="1" w:styleId="21">
    <w:name w:val="Default Paragraph Font Para Char Char Char Char Char"/>
    <w:autoRedefine/>
    <w:qFormat/>
    <w:uiPriority w:val="0"/>
    <w:pPr>
      <w:tabs>
        <w:tab w:val="left" w:pos="1152"/>
      </w:tabs>
      <w:spacing w:after="0" w:line="240" w:lineRule="auto"/>
      <w:jc w:val="both"/>
    </w:pPr>
    <w:rPr>
      <w:rFonts w:ascii="Times New Roman" w:hAnsi="Times New Roman" w:eastAsia="Times New Roman" w:cs="Times New Roman"/>
      <w:sz w:val="20"/>
      <w:szCs w:val="20"/>
      <w:lang w:val="en-US" w:eastAsia="en-US" w:bidi="ar-SA"/>
    </w:rPr>
  </w:style>
  <w:style w:type="character" w:customStyle="1" w:styleId="22">
    <w:name w:val="Heading 5 Char"/>
    <w:basedOn w:val="5"/>
    <w:link w:val="4"/>
    <w:qFormat/>
    <w:uiPriority w:val="9"/>
    <w:rPr>
      <w:rFonts w:ascii="Times New Roman" w:hAnsi="Times New Roman" w:cs="Times New Roman" w:eastAsiaTheme="minorHAnsi"/>
      <w:i/>
      <w:sz w:val="26"/>
      <w:szCs w:val="26"/>
    </w:rPr>
  </w:style>
  <w:style w:type="character" w:customStyle="1" w:styleId="23">
    <w:name w:val="List Paragraph Char"/>
    <w:link w:val="19"/>
    <w:qFormat/>
    <w:locked/>
    <w:uiPriority w:val="34"/>
  </w:style>
  <w:style w:type="character" w:customStyle="1" w:styleId="24">
    <w:name w:val="Heading 3 Char"/>
    <w:basedOn w:val="5"/>
    <w:link w:val="2"/>
    <w:semiHidden/>
    <w:qFormat/>
    <w:uiPriority w:val="9"/>
    <w:rPr>
      <w:rFonts w:asciiTheme="majorHAnsi" w:hAnsiTheme="majorHAnsi" w:eastAsiaTheme="majorEastAsia" w:cstheme="majorBidi"/>
      <w:color w:val="243F61" w:themeColor="accent1" w:themeShade="7F"/>
      <w:sz w:val="24"/>
      <w:szCs w:val="24"/>
    </w:rPr>
  </w:style>
  <w:style w:type="character" w:customStyle="1" w:styleId="25">
    <w:name w:val="Body Text 2 Char"/>
    <w:basedOn w:val="5"/>
    <w:link w:val="8"/>
    <w:qFormat/>
    <w:uiPriority w:val="0"/>
    <w:rPr>
      <w:rFonts w:ascii="Times New Roman" w:hAnsi="Times New Roman" w:eastAsia="Calibri" w:cs="Times New Roman"/>
      <w:sz w:val="26"/>
      <w:lang w:val="vi-VN"/>
    </w:rPr>
  </w:style>
  <w:style w:type="character" w:customStyle="1" w:styleId="26">
    <w:name w:val="Other_"/>
    <w:link w:val="27"/>
    <w:qFormat/>
    <w:uiPriority w:val="99"/>
    <w:rPr>
      <w:rFonts w:ascii="Times New Roman" w:hAnsi="Times New Roman"/>
      <w:sz w:val="26"/>
      <w:szCs w:val="26"/>
      <w:shd w:val="clear" w:color="auto" w:fill="FFFFFF"/>
    </w:rPr>
  </w:style>
  <w:style w:type="paragraph" w:customStyle="1" w:styleId="27">
    <w:name w:val="Other"/>
    <w:basedOn w:val="1"/>
    <w:link w:val="26"/>
    <w:qFormat/>
    <w:uiPriority w:val="99"/>
    <w:pPr>
      <w:widowControl w:val="0"/>
      <w:shd w:val="clear" w:color="auto" w:fill="FFFFFF"/>
      <w:spacing w:after="40" w:line="254" w:lineRule="auto"/>
      <w:ind w:firstLine="400"/>
    </w:pPr>
    <w:rPr>
      <w:rFonts w:ascii="Times New Roman" w:hAnsi="Times New Roman"/>
      <w:sz w:val="26"/>
      <w:szCs w:val="26"/>
    </w:rPr>
  </w:style>
  <w:style w:type="character" w:customStyle="1" w:styleId="28">
    <w:name w:val="Heading 4 Char"/>
    <w:basedOn w:val="5"/>
    <w:link w:val="3"/>
    <w:semiHidden/>
    <w:qFormat/>
    <w:uiPriority w:val="9"/>
    <w:rPr>
      <w:rFonts w:asciiTheme="majorHAnsi" w:hAnsiTheme="majorHAnsi" w:eastAsiaTheme="majorEastAsia" w:cstheme="majorBidi"/>
      <w:i/>
      <w:iCs/>
      <w:color w:val="366091" w:themeColor="accent1" w:themeShade="BF"/>
    </w:rPr>
  </w:style>
  <w:style w:type="paragraph" w:customStyle="1" w:styleId="29">
    <w:name w:val="Hình"/>
    <w:basedOn w:val="9"/>
    <w:autoRedefine/>
    <w:qFormat/>
    <w:uiPriority w:val="0"/>
    <w:pPr>
      <w:spacing w:before="120" w:after="120" w:line="288" w:lineRule="auto"/>
      <w:jc w:val="center"/>
    </w:pPr>
    <w:rPr>
      <w:rFonts w:ascii="Times New Roman" w:hAnsi="Times New Roman" w:eastAsia="Calibri" w:cs="Times New Roman"/>
      <w:b/>
      <w:i w:val="0"/>
      <w:iCs w:val="0"/>
      <w:color w:val="0C0C0C" w:themeColor="text1" w:themeTint="F2"/>
      <w:sz w:val="26"/>
      <w:szCs w:val="26"/>
    </w:rPr>
  </w:style>
  <w:style w:type="character" w:customStyle="1" w:styleId="30">
    <w:name w:val="Caption Char"/>
    <w:basedOn w:val="5"/>
    <w:link w:val="9"/>
    <w:qFormat/>
    <w:uiPriority w:val="35"/>
    <w:rPr>
      <w:i/>
      <w:iCs/>
      <w:color w:val="1F497D" w:themeColor="text2"/>
      <w:sz w:val="18"/>
      <w:szCs w:val="18"/>
    </w:rPr>
  </w:style>
  <w:style w:type="paragraph" w:customStyle="1" w:styleId="31">
    <w:name w:val="Revision"/>
    <w:hidden/>
    <w:semiHidden/>
    <w:qFormat/>
    <w:uiPriority w:val="99"/>
    <w:pPr>
      <w:spacing w:after="0" w:line="240" w:lineRule="auto"/>
    </w:pPr>
    <w:rPr>
      <w:rFonts w:asciiTheme="minorHAnsi" w:hAnsiTheme="minorHAnsi" w:eastAsiaTheme="minorEastAsia" w:cstheme="minorBidi"/>
      <w:sz w:val="22"/>
      <w:szCs w:val="22"/>
      <w:lang w:val="en-US" w:eastAsia="en-US" w:bidi="ar-SA"/>
    </w:rPr>
  </w:style>
  <w:style w:type="character" w:customStyle="1" w:styleId="32">
    <w:name w:val="Balloon Text Char"/>
    <w:basedOn w:val="5"/>
    <w:link w:val="7"/>
    <w:semiHidden/>
    <w:qFormat/>
    <w:uiPriority w:val="99"/>
    <w:rPr>
      <w:rFonts w:ascii="Segoe UI" w:hAnsi="Segoe UI" w:cs="Segoe UI"/>
      <w:sz w:val="18"/>
      <w:szCs w:val="18"/>
    </w:rPr>
  </w:style>
  <w:style w:type="character" w:customStyle="1" w:styleId="33">
    <w:name w:val="uv3um"/>
    <w:basedOn w:val="5"/>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F:\2023%20Project\2023%20-%20Nghien%20cuu%20Nghi%20dinh%2098\Data%20cac%20tinh%202024\Final_Output-N&#272;98%20-%2063%20T&#7881;nh%20th&#224;nh.%202.11.2024.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F:\2023%20Project\2023%20-%20Nghien%20cuu%20Nghi%20dinh%2098\Data%20cac%20tinh%202024\Final_Output-N&#272;98%20-%2063%20T&#7881;nh%20th&#224;nh.%202.11.202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en-US" sz="11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'PL2. PHÊ DUYỆT- NGHIỆM THU'!$B$9:$B$14</c:f>
              <c:strCache>
                <c:ptCount val="6"/>
                <c:pt idx="0">
                  <c:v>Đồng bằng sông Hồng</c:v>
                </c:pt>
                <c:pt idx="1">
                  <c:v>Trung du miền núi phía Bắc</c:v>
                </c:pt>
                <c:pt idx="2">
                  <c:v>BTB và Duyên hải miền Trung</c:v>
                </c:pt>
                <c:pt idx="3">
                  <c:v>Tây Nguyên</c:v>
                </c:pt>
                <c:pt idx="4">
                  <c:v>Đông Nam Bộ</c:v>
                </c:pt>
                <c:pt idx="5">
                  <c:v>Đồng bằng sông Cửu Long</c:v>
                </c:pt>
              </c:strCache>
            </c:strRef>
          </c:cat>
          <c:val>
            <c:numRef>
              <c:f>'PL2. PHÊ DUYỆT- NGHIỆM THU'!$C$9:$C$14</c:f>
              <c:numCache>
                <c:formatCode>_(* #,##0_);_(* \(#,##0\);_(* "-"??_);_(@_)</c:formatCode>
                <c:ptCount val="6"/>
                <c:pt idx="0">
                  <c:v>465</c:v>
                </c:pt>
                <c:pt idx="1">
                  <c:v>746</c:v>
                </c:pt>
                <c:pt idx="2">
                  <c:v>978</c:v>
                </c:pt>
                <c:pt idx="3">
                  <c:v>458</c:v>
                </c:pt>
                <c:pt idx="4">
                  <c:v>160</c:v>
                </c:pt>
                <c:pt idx="5">
                  <c:v>131</c:v>
                </c:pt>
              </c:numCache>
            </c:numRef>
          </c:val>
        </c:ser>
        <c:dLbls>
          <c:showLegendKey val="0"/>
          <c:showVal val="0"/>
          <c:showCatName val="0"/>
          <c:showSerName val="0"/>
          <c:showPercent val="0"/>
          <c:showBubbleSize val="0"/>
        </c:dLbls>
        <c:gapWidth val="219"/>
        <c:overlap val="-27"/>
        <c:axId val="1084518352"/>
        <c:axId val="1337939648"/>
      </c:barChart>
      <c:catAx>
        <c:axId val="108451835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en-US" sz="1200" b="0" i="0" u="none" strike="noStrike" kern="1200" baseline="0">
                <a:solidFill>
                  <a:schemeClr val="tx1">
                    <a:lumMod val="65000"/>
                    <a:lumOff val="35000"/>
                  </a:schemeClr>
                </a:solidFill>
                <a:latin typeface="+mn-lt"/>
                <a:ea typeface="+mn-ea"/>
                <a:cs typeface="+mn-cs"/>
              </a:defRPr>
            </a:pPr>
          </a:p>
        </c:txPr>
        <c:crossAx val="1337939648"/>
        <c:crosses val="autoZero"/>
        <c:auto val="1"/>
        <c:lblAlgn val="ctr"/>
        <c:lblOffset val="100"/>
        <c:noMultiLvlLbl val="0"/>
      </c:catAx>
      <c:valAx>
        <c:axId val="1337939648"/>
        <c:scaling>
          <c:orientation val="minMax"/>
        </c:scaling>
        <c:delete val="0"/>
        <c:axPos val="l"/>
        <c:majorGridlines>
          <c:spPr>
            <a:ln w="9525" cap="flat" cmpd="sng" algn="ctr">
              <a:solidFill>
                <a:schemeClr val="tx1">
                  <a:lumMod val="15000"/>
                  <a:lumOff val="85000"/>
                </a:schemeClr>
              </a:solidFill>
              <a:round/>
            </a:ln>
            <a:effectLst/>
          </c:spPr>
        </c:majorGridlines>
        <c:numFmt formatCode="_(* #,##0_);_(* \(#,##0\);_(* &quot;-&quot;??_);_(@_)" sourceLinked="1"/>
        <c:majorTickMark val="none"/>
        <c:minorTickMark val="none"/>
        <c:tickLblPos val="nextTo"/>
        <c:spPr>
          <a:noFill/>
          <a:ln>
            <a:noFill/>
          </a:ln>
          <a:effectLst/>
        </c:spPr>
        <c:txPr>
          <a:bodyPr rot="-60000000" spcFirstLastPara="1" vertOverflow="ellipsis" vert="horz" wrap="square" anchor="ctr" anchorCtr="1"/>
          <a:lstStyle/>
          <a:p>
            <a:pPr>
              <a:defRPr lang="en-US" sz="12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p>
        </c:txPr>
        <c:crossAx val="1084518352"/>
        <c:crosses val="autoZero"/>
        <c:crossBetween val="between"/>
      </c:valAx>
      <c:spPr>
        <a:noFill/>
        <a:ln>
          <a:noFill/>
        </a:ln>
        <a:effectLst/>
      </c:spPr>
    </c:plotArea>
    <c:plotVisOnly val="1"/>
    <c:dispBlanksAs val="gap"/>
    <c:showDLblsOverMax val="0"/>
    <c:extLst>
      <c:ext uri="{0b15fc19-7d7d-44ad-8c2d-2c3a37ce22c3}">
        <chartProps xmlns="https://web.wps.cn/et/2018/main" chartId="{bfdbe5cd-f9fd-437d-8c81-77d4285d6128}"/>
      </c:ext>
    </c:extLst>
  </c:chart>
  <c:spPr>
    <a:solidFill>
      <a:schemeClr val="bg1"/>
    </a:solidFill>
    <a:ln w="9525" cap="flat" cmpd="sng" algn="ctr">
      <a:solidFill>
        <a:schemeClr val="tx1">
          <a:lumMod val="15000"/>
          <a:lumOff val="85000"/>
        </a:schemeClr>
      </a:solidFill>
      <a:round/>
    </a:ln>
    <a:effectLst/>
  </c:spPr>
  <c:txPr>
    <a:bodyPr/>
    <a:lstStyle/>
    <a:p>
      <a:pPr>
        <a:defRPr lang="en-US"/>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spPr>
            <a:ln w="28575" cap="rnd">
              <a:solidFill>
                <a:schemeClr val="accent1"/>
              </a:solid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lang="en-US" sz="900" b="0" i="0" u="none" strike="noStrike" kern="1200" baseline="0">
                    <a:solidFill>
                      <a:schemeClr val="tx1">
                        <a:lumMod val="75000"/>
                        <a:lumOff val="25000"/>
                      </a:schemeClr>
                    </a:solidFill>
                    <a:latin typeface="+mn-lt"/>
                    <a:ea typeface="+mn-ea"/>
                    <a:cs typeface="+mn-cs"/>
                  </a:defRPr>
                </a:pPr>
              </a:p>
            </c:txPr>
            <c:dLblPos val="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'PL5- QUY MÔ LIÊN KẾT'!$B$6:$B$18</c:f>
              <c:strCache>
                <c:ptCount val="13"/>
                <c:pt idx="0">
                  <c:v>Lúa, gạo</c:v>
                </c:pt>
                <c:pt idx="1">
                  <c:v>Cà phê</c:v>
                </c:pt>
                <c:pt idx="2">
                  <c:v>Cao su</c:v>
                </c:pt>
                <c:pt idx="3">
                  <c:v>Điều</c:v>
                </c:pt>
                <c:pt idx="4">
                  <c:v>Hồ tiêu</c:v>
                </c:pt>
                <c:pt idx="5">
                  <c:v>Chè</c:v>
                </c:pt>
                <c:pt idx="6">
                  <c:v>Rau, quả</c:v>
                </c:pt>
                <c:pt idx="7">
                  <c:v>Sắn và sản phẩm từ sắn</c:v>
                </c:pt>
                <c:pt idx="8">
                  <c:v>Thịt lợn</c:v>
                </c:pt>
                <c:pt idx="9">
                  <c:v>Thịt và trứng gia cầm</c:v>
                </c:pt>
                <c:pt idx="10">
                  <c:v>Cá tra</c:v>
                </c:pt>
                <c:pt idx="11">
                  <c:v>Tôm</c:v>
                </c:pt>
                <c:pt idx="12">
                  <c:v>Gỗ và các sản phẩm từ gỗ</c:v>
                </c:pt>
              </c:strCache>
            </c:strRef>
          </c:cat>
          <c:val>
            <c:numRef>
              <c:f>'PL5- QUY MÔ LIÊN KẾT'!$C$6:$C$18</c:f>
              <c:numCache>
                <c:formatCode>0</c:formatCode>
                <c:ptCount val="13"/>
                <c:pt idx="0">
                  <c:v>682</c:v>
                </c:pt>
                <c:pt idx="1">
                  <c:v>24</c:v>
                </c:pt>
                <c:pt idx="2">
                  <c:v>9</c:v>
                </c:pt>
                <c:pt idx="3">
                  <c:v>21</c:v>
                </c:pt>
                <c:pt idx="4">
                  <c:v>9</c:v>
                </c:pt>
                <c:pt idx="5">
                  <c:v>51</c:v>
                </c:pt>
                <c:pt idx="6">
                  <c:v>550</c:v>
                </c:pt>
                <c:pt idx="7">
                  <c:v>15</c:v>
                </c:pt>
                <c:pt idx="8">
                  <c:v>209</c:v>
                </c:pt>
                <c:pt idx="9">
                  <c:v>150</c:v>
                </c:pt>
                <c:pt idx="10">
                  <c:v>7</c:v>
                </c:pt>
                <c:pt idx="11">
                  <c:v>2</c:v>
                </c:pt>
                <c:pt idx="12">
                  <c:v>9</c:v>
                </c:pt>
              </c:numCache>
            </c:numRef>
          </c:val>
          <c:smooth val="0"/>
        </c:ser>
        <c:dLbls>
          <c:showLegendKey val="0"/>
          <c:showVal val="0"/>
          <c:showCatName val="0"/>
          <c:showSerName val="0"/>
          <c:showPercent val="0"/>
          <c:showBubbleSize val="0"/>
        </c:dLbls>
        <c:marker val="1"/>
        <c:smooth val="0"/>
        <c:axId val="1335029664"/>
        <c:axId val="1337917184"/>
      </c:lineChart>
      <c:catAx>
        <c:axId val="133502966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p>
        </c:txPr>
        <c:crossAx val="1337917184"/>
        <c:crosses val="autoZero"/>
        <c:auto val="1"/>
        <c:lblAlgn val="ctr"/>
        <c:lblOffset val="100"/>
        <c:noMultiLvlLbl val="0"/>
      </c:catAx>
      <c:valAx>
        <c:axId val="1337917184"/>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p>
        </c:txPr>
        <c:crossAx val="1335029664"/>
        <c:crosses val="autoZero"/>
        <c:crossBetween val="between"/>
      </c:valAx>
      <c:spPr>
        <a:noFill/>
        <a:ln>
          <a:noFill/>
        </a:ln>
        <a:effectLst/>
      </c:spPr>
    </c:plotArea>
    <c:plotVisOnly val="1"/>
    <c:dispBlanksAs val="gap"/>
    <c:showDLblsOverMax val="0"/>
    <c:extLst>
      <c:ext uri="{0b15fc19-7d7d-44ad-8c2d-2c3a37ce22c3}">
        <chartProps xmlns="https://web.wps.cn/et/2018/main" chartId="{fe4fdc3d-b831-40b0-8f0c-2f87bbe546e5}"/>
      </c:ext>
    </c:extLst>
  </c:chart>
  <c:spPr>
    <a:solidFill>
      <a:schemeClr val="bg1"/>
    </a:solidFill>
    <a:ln w="9525" cap="flat" cmpd="sng" algn="ctr">
      <a:solidFill>
        <a:schemeClr val="tx1">
          <a:lumMod val="15000"/>
          <a:lumOff val="85000"/>
        </a:schemeClr>
      </a:solidFill>
      <a:round/>
    </a:ln>
    <a:effectLst/>
  </c:spPr>
  <c:txPr>
    <a:bodyPr/>
    <a:lstStyle/>
    <a:p>
      <a:pPr>
        <a:defRPr lang="en-US"/>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6DA3C8-D4CD-4683-9791-7D01115E121D}">
  <ds:schemaRefs/>
</ds:datastoreItem>
</file>

<file path=docProps/app.xml><?xml version="1.0" encoding="utf-8"?>
<Properties xmlns="http://schemas.openxmlformats.org/officeDocument/2006/extended-properties" xmlns:vt="http://schemas.openxmlformats.org/officeDocument/2006/docPropsVTypes">
  <Template>Normal</Template>
  <Pages>35</Pages>
  <Words>6707</Words>
  <Characters>24418</Characters>
  <Lines>425</Lines>
  <Paragraphs>119</Paragraphs>
  <TotalTime>13</TotalTime>
  <ScaleCrop>false</ScaleCrop>
  <LinksUpToDate>false</LinksUpToDate>
  <CharactersWithSpaces>31051</CharactersWithSpaces>
  <Application>WPS Office_12.1.0.26880_F1E327BC-269C-435d-A152-05C5408002CA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2021-08-26T07:53:00Z</dcterms:created>
  <dc:creator>PC admin</dc:creator>
  <cp:lastModifiedBy>Tiến Định Nguyễn</cp:lastModifiedBy>
  <dcterms:modified xsi:type="dcterms:W3CDTF">2026-07-02T06:57:44Z</dcterms:modified>
  <cp:revision>793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eyJoZGlkIjoiZjBkMTZkNDY0ZjExMDNkMDdlNWVlZWVmOTMwODkyODUiLCJ1c2VySWQiOiIxMzkyMjkwMzc4Mzg3In0=</vt:lpwstr>
  </property>
  <property fmtid="{D5CDD505-2E9C-101B-9397-08002B2CF9AE}" pid="3" name="KSOProductBuildVer">
    <vt:lpwstr>1033-12.1.0.26880</vt:lpwstr>
  </property>
  <property fmtid="{D5CDD505-2E9C-101B-9397-08002B2CF9AE}" pid="4" name="ICV">
    <vt:lpwstr>A142CE9B37F64A0ABC9173B38439E178_12</vt:lpwstr>
  </property>
</Properties>
</file>